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7BFC6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GB" w:eastAsia="en-GB"/>
        </w:rPr>
        <w:drawing>
          <wp:inline distT="0" distB="0" distL="0" distR="0" wp14:anchorId="5E46EE88" wp14:editId="6239AF99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14D78A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219D7CFC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31D09DB3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2B3EA0D0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5BB22FF5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AC1BAA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1AE02E8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69DEAD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5DE6B440" w14:textId="77777777" w:rsidR="00CB72ED" w:rsidRPr="00B96B4F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POLIMERNO INŽENJERSTVO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BE6A4FF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463F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8FFCB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82437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07F80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670EA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4D434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0042DD6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A54816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06F56A8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BD1F39C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B5F2318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DB0C865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07B81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D2CEF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FFB31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2A30B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40745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60EB7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6E59B6A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204912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4440489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712D01F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66B18DB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4497753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0179560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EAB0B0A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18801AE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9B56330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354318B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2D380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6EF26E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FB446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20493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4A9D8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2EC6E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816B2C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FFD905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D963FB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BE7796D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9D58D0F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091293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5085C08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2A1E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CEFF7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D073C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9B842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CE9BC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DF903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FFC948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CBF758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80C6E9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4EFC90E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5B7C98A2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67DB56C2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B43792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B43792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649C4E81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5F85CA9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3407A9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6E9F02B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E00D9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1B084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BE1E6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46449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66CDF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9D477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D34DBA6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AF85A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A71DF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076FE37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FDB707A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EC30310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0374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F9CEB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208FF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E3F6C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2257D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34C3C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4AB229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5965F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2A87C0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0FEED42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459B844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32CC01E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E0CD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144F1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CE2E1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6E21D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B8CD2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462F3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32677A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6D33CC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40CF7E2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D23C021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5CA10D3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3F4348F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5A913DD8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0FE76E4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D831A6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E1A24E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F8E67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52214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77AD3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E0F54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D1DE5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EF813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9DAB608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1C05C93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250632E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3BDBE26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6863802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1F7C2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30EB567D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1BD5F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73AAB5AF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7708E20C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2AD4E0B8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774AEDAD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1348055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62C36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9332B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1B1F9C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6D643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4DB97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4F6E977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08D01B5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739F9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AC7C8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BBFFD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3E0FF1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7C9D6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4931">
              <w:rPr>
                <w:rFonts w:asciiTheme="majorHAnsi" w:hAnsiTheme="majorHAnsi"/>
                <w:b/>
                <w:sz w:val="18"/>
                <w:szCs w:val="18"/>
              </w:rPr>
              <w:t>33.75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031EB8F0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4F674216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475F27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287193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282ABF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0AF946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181F48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379F2AC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CA98356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06445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BB376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0E30C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EA2F03D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74CCB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4931">
              <w:rPr>
                <w:rFonts w:asciiTheme="majorHAnsi" w:hAnsiTheme="majorHAnsi"/>
                <w:b/>
                <w:sz w:val="18"/>
                <w:szCs w:val="18"/>
              </w:rPr>
              <w:t>117.5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747022BF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85F6BAD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7FB2B8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66541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59B84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A2CD5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4FFCD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E4FD780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CF1F7F2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1AA73" w14:textId="77777777" w:rsidR="00CB72ED" w:rsidRPr="00B96B4F" w:rsidRDefault="00D070D9" w:rsidP="0076651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5B4C5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198FB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526A210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40139" w14:textId="63FDD45B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4931">
              <w:rPr>
                <w:rFonts w:asciiTheme="majorHAnsi" w:hAnsiTheme="majorHAnsi" w:cs="Arial"/>
                <w:b/>
                <w:sz w:val="18"/>
                <w:szCs w:val="18"/>
              </w:rPr>
              <w:t>15</w:t>
            </w:r>
            <w:r w:rsidR="005A397B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244931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5A397B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244931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31727C90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80B23A4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7E6311C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9AD2EBF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3E7252F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158A6713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79A10610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7016AD99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02177C2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BFFFA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44931">
              <w:rPr>
                <w:rFonts w:asciiTheme="majorHAnsi" w:hAnsiTheme="majorHAnsi"/>
                <w:b/>
                <w:sz w:val="18"/>
                <w:szCs w:val="18"/>
              </w:rPr>
              <w:t>0.8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49803FE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E0FF2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535586E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10EBB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D4EF1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88F55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DC872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DD2A2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4C1AD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FDFE11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8E4E5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05FA23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65531B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ACA1A06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Tehnološki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CA3DEDE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613C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647DC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DD8DC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39ECA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DC3E4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F0EFA4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A7BD89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A9AE2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98B279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CE14FC9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C315D9F" w14:textId="77777777" w:rsidR="00CB72ED" w:rsidRPr="00B96B4F" w:rsidRDefault="00D070D9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/Hemijsko inženjerstvo, Ekološko inženjerstvo, Hemija i inženjerstvo materijala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15087E0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BEC6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3D61A6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7C093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1EA4F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4F078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839ED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83B04D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79500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FEEF9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100E46A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7B34BB43" w14:textId="77777777" w:rsidR="00CB72ED" w:rsidRPr="00B96B4F" w:rsidRDefault="00D070D9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Dr.sc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. Zoran Iličković, red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ovni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 prof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3A31ED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477F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3FB54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BEDC4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B8608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FFD12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AB458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AD116B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E35E2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49FA02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69E9C9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6277E7" w14:textId="77777777" w:rsidR="00CB72ED" w:rsidRPr="00B96B4F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Cilj kursa je dati studentima potrebna znanja vezana za  osnovne principe na kojima se zasniva polimerno inženjerstvo. Razumijevanje specifičnosti koje nameće polimerna struktura u inženjerskim postupcima dobijanja i prerade polimernih 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materijala. Upoznavanja sa značajem polimernih materijala, multidisciplinarnosti i potrebe za timskim radom u rješavanju inženjerskih problema vezanih za dobijanje i preradu polimernih materijala.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F5767B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E9B46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9BBB1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0978D7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11A27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372F8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CA84B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9BC4CE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33985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16779E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2EF1F68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DF7743" w14:textId="77777777" w:rsidR="00CB72ED" w:rsidRPr="00B96B4F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Uspješnim savladavanjem ovog predmeta studenti će biti u mogućnosti da ovladaju osnovnim principima i tehnikama zastupljenim u polimernom inženjerstvu te da povezuju ova znanja sa znanjima iz drugih disciplina u rješavanju s</w:t>
            </w:r>
            <w:r w:rsidR="003F7853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vremenih inženjerskih problema . Osposobljenost za izbor polimernih materijala i predviđanje njihovog ponašanja u konstrukcijama i proizvodima široke potrošnje, kao i utjecaj polimera na okoliš.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85BF4F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9498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1BE3B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A03B8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BBACB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81863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AA6B4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639C9B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D0E1B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71439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19E5EE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1FC92F4" w14:textId="77777777" w:rsidR="00CB72ED" w:rsidRPr="00B96B4F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Kroz nastavni predmet Polimerno inženjerstvo, studenti se upoznaju sa slijedećim nastavnim cjelinama: Uvod - mjesto i značaj polimera u suvremenom inženjerstvu.  Struktura polimernih molekula: neuniformnost, raspodjele i prosjeci molekulskih masa, raspodjela hemijskog sastava. Polimerizacijske reakcije: radikana polimerizacija, stupnjevita polimerizacija, ionska polimerizacija, reakcije otvaranjem prstena. Aditivi u pripr</w:t>
            </w:r>
            <w:r w:rsidR="003F7853">
              <w:rPr>
                <w:rFonts w:asciiTheme="majorHAnsi" w:hAnsiTheme="majorHAnsi" w:cs="Arial"/>
                <w:b/>
                <w:sz w:val="18"/>
                <w:szCs w:val="18"/>
              </w:rPr>
              <w:t>emi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 polimernih materijala. Industrijska provedba polimerizacije: polimerizacija u masi i otopini, suspenzijska polimerizacija i emulzijska polimerizacija. Specifični postupci i operacije za dobijanje polimernih proizvoda. Osobine, struktura, svojstva i primjena najvažnijih polimera; Degradacija i recikliranje polimera i polimernih materijala. Osnove polimerizacijske kinetike. Utjecaj kinetičkih parametara na raspodjele molekulskih masa. Polimerizacijski reaktori, modeliranje makro, mezo i mikrorazine. Modeliranje i optimiranje polimerizacijskih  procesa.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18BAC7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AB89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6CAB0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8D21F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0096D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4BF7A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0C0DA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C2F7C1E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63C85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D088DA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17895FA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4B937B5" w14:textId="77777777" w:rsidR="0076651C" w:rsidRPr="0076651C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Auditorna predavanja uz upotrebu multimedijalnih sredstava ( power point prezentacije) favorizirajući aktivno učešće i diskusiju studenata.</w:t>
            </w:r>
          </w:p>
          <w:p w14:paraId="209AE60F" w14:textId="77777777" w:rsidR="00CB72ED" w:rsidRPr="00B96B4F" w:rsidRDefault="0076651C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6651C">
              <w:rPr>
                <w:rFonts w:asciiTheme="majorHAnsi" w:hAnsiTheme="majorHAnsi" w:cs="Arial"/>
                <w:b/>
                <w:sz w:val="18"/>
                <w:szCs w:val="18"/>
              </w:rPr>
              <w:t>Praktičan rad na izradi i javnoj odbrani individualnih seminarskih radova.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0B6F62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1E91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1BDFB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05ED1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087BB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23B1D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0E0F2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0E59B7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0DCED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C41EF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6D730A0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88F51F" w14:textId="77777777" w:rsidR="00D831A6" w:rsidRPr="00D831A6" w:rsidRDefault="00D070D9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831A6"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Znanje i vještine ocjenjuju se  u toku semestra kroz: izradu  i usmenu odbranu seminarskog rada  i završni ispit. Studenti su obavezni da pristupe svim oblicima provjere znanja tokom semestra. </w:t>
            </w:r>
          </w:p>
          <w:p w14:paraId="18309383" w14:textId="77777777" w:rsidR="00D831A6" w:rsidRPr="00D831A6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U sklopu predispitnih obaveza studenti rade seminarski rad iz tematike sadržaja nastavnog predmeta koji predaje u pismenoj formi na pregled, ocjenu, te nakon usmene odbrane istog i mogu ostvariti maksimalno 50 bodova. </w:t>
            </w:r>
          </w:p>
          <w:p w14:paraId="1A97B5A0" w14:textId="77777777" w:rsidR="00D831A6" w:rsidRPr="00D831A6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Prisutnost na predavanjima se ocjenjuje sa maksimalno 5 bodova . </w:t>
            </w:r>
          </w:p>
          <w:p w14:paraId="491F74F8" w14:textId="77777777" w:rsidR="00CB72ED" w:rsidRPr="00B96B4F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obuhvata cjelokupno gradivo. Na završnom ispitu student može osvojiti  maksimalno 45 bodova.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0894FD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713E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B7755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C2512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54EA8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5A7C2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FDA30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1C5601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C87E3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9EC3A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E7F48A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3ACFD53" w14:textId="5360F0D8" w:rsidR="00CB72ED" w:rsidRPr="00B96B4F" w:rsidRDefault="00D070D9" w:rsidP="001548C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831A6"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4CDF50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12C6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F58A6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70035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E0443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4A63A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8104F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5FDC9C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3D91B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0CE01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05634E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43338C1" w14:textId="77777777" w:rsidR="0076651C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1. Z.</w:t>
            </w:r>
            <w:r w:rsidR="003F7853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ličković, Materijal sa predavanja</w:t>
            </w:r>
          </w:p>
          <w:p w14:paraId="4C151868" w14:textId="77777777" w:rsidR="00CB72ED" w:rsidRPr="00B96B4F" w:rsidRDefault="0076651C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2. </w:t>
            </w:r>
            <w:r w:rsidRPr="0076651C">
              <w:rPr>
                <w:rFonts w:asciiTheme="majorHAnsi" w:hAnsiTheme="majorHAnsi" w:cs="Arial"/>
                <w:b/>
                <w:sz w:val="18"/>
                <w:szCs w:val="18"/>
              </w:rPr>
              <w:t>A.Kumar, R.K.Gupta, Fundamentals of polymer engineering-Third edition, CRC Press, 2019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6DE5E0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3799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E0A42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AA0AD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13088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E0089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5A85C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C92C24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CA910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29B85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C94EBFA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349069" w14:textId="77777777" w:rsidR="00CB72ED" w:rsidRPr="00B96B4F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1.  N.G.McCrum, C.P.Buckley, C.B.Bucknall, Principles of polymer engineering, Oxford University Press, 1998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405D8ED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2DBB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D8D42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F4FA9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E2FC2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956D7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3A24A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DAFA3B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5FD7B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AE426C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1BC985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6276E3A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5D9147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2DF3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CF040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7EAD7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75E9E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3F036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164DF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A2A6482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3F265A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4533AAC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A8AC92C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75ECA7B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831A6">
              <w:rPr>
                <w:rFonts w:asciiTheme="majorHAnsi" w:hAnsiTheme="majorHAnsi" w:cs="Arial"/>
                <w:b/>
                <w:sz w:val="18"/>
                <w:szCs w:val="18"/>
              </w:rPr>
              <w:t>2024/25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3B23045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95453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03128B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797963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40DD86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0D6B36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524E6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5022092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5F2B47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7B01F43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B6BE12D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0DA84501" w14:textId="59003555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02A3B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B02A3B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02A3B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02A3B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02A3B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B02A3B" w:rsidRPr="00B02A3B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B02A3B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B48B6" w:rsidRPr="00B02A3B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B02A3B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1EDF86D6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4AA3C7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51DE4EC9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8815FA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763F029F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6A548B1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4869D36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00447B9D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C3D85" w14:textId="77777777" w:rsidR="00B43792" w:rsidRDefault="00B43792">
      <w:pPr>
        <w:spacing w:line="240" w:lineRule="auto"/>
      </w:pPr>
      <w:r>
        <w:separator/>
      </w:r>
    </w:p>
  </w:endnote>
  <w:endnote w:type="continuationSeparator" w:id="0">
    <w:p w14:paraId="226E86A5" w14:textId="77777777" w:rsidR="00B43792" w:rsidRDefault="00B437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 w14:paraId="17F910BE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77DA68ED" w14:textId="444DDAFE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A397B">
            <w:rPr>
              <w:rFonts w:ascii="Cambria" w:hAnsi="Cambria" w:cs="Calibri"/>
              <w:noProof/>
              <w:sz w:val="16"/>
              <w:szCs w:val="16"/>
            </w:rPr>
            <w:t>4.7.2024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10F83A65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1DE4F68E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73D37276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11DB00A5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19B48373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3D238D86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831A6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831A6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4904124E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3E1F5" w14:textId="77777777" w:rsidR="00B43792" w:rsidRDefault="00B43792">
      <w:pPr>
        <w:spacing w:after="0"/>
      </w:pPr>
      <w:r>
        <w:separator/>
      </w:r>
    </w:p>
  </w:footnote>
  <w:footnote w:type="continuationSeparator" w:id="0">
    <w:p w14:paraId="55BFE9DC" w14:textId="77777777" w:rsidR="00B43792" w:rsidRDefault="00B437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0F2A" w14:textId="77777777" w:rsidR="00CB72ED" w:rsidRDefault="00CB72ED">
    <w:pPr>
      <w:pStyle w:val="Header"/>
    </w:pPr>
  </w:p>
  <w:p w14:paraId="36637FD2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548C4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931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303D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3F7853"/>
    <w:rsid w:val="004002AE"/>
    <w:rsid w:val="00400B07"/>
    <w:rsid w:val="004019DF"/>
    <w:rsid w:val="00407835"/>
    <w:rsid w:val="00410521"/>
    <w:rsid w:val="00423524"/>
    <w:rsid w:val="0042767B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C5F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397B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51C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2A3B"/>
    <w:rsid w:val="00B055AB"/>
    <w:rsid w:val="00B14D16"/>
    <w:rsid w:val="00B22657"/>
    <w:rsid w:val="00B26874"/>
    <w:rsid w:val="00B37D1D"/>
    <w:rsid w:val="00B43792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831A6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1C394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2AA97-71E6-47EB-AE99-05C80303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6</cp:revision>
  <cp:lastPrinted>2024-03-19T08:24:00Z</cp:lastPrinted>
  <dcterms:created xsi:type="dcterms:W3CDTF">2024-05-26T13:38:00Z</dcterms:created>
  <dcterms:modified xsi:type="dcterms:W3CDTF">2024-07-04T09:28:00Z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