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6B8E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GB" w:eastAsia="en-GB"/>
        </w:rPr>
        <w:drawing>
          <wp:inline distT="0" distB="0" distL="0" distR="0" wp14:anchorId="55D8CC2A" wp14:editId="791D4451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1289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9FF60E1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53475C7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18970533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5986B13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AF27F4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E9C9ED8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AB483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F486DDC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>BIORAZGRADLJIVI POLIMERI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73A96B9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FE68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3EDA76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F3B3B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E7717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9D88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23FDE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3ABD8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B50A2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55356E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427B54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D84DDE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48CDEC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A8222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4D6412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37A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93F8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54CA5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87B7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B146548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810B2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3ABE5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47F89E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BDA3C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E59B03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31CA5B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6B0DA18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7E474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F8183F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15B123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ABC7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E1057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3F415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5DE28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6D33A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0741B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6835E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DD594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5AA180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2E28DC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DE9DB8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98A63B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E3CB8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BE24A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4FF9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E329C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6A82A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C7E40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2799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C8959C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A0370E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10F219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6DEAA1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06DD5D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C45132A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DA24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DA248E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0FCE1C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0B0CD48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9BFFD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9225B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4CEDA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E8E6F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9553C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60E4C6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D94CC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06D8B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61980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BD6D8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1F35D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A2B612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B12285A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NE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467F32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2FC5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EB00E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3286E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12ED04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F974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BF1C0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B4DCB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E895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C604D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865F4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8410D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F84C3D">
              <w:rPr>
                <w:rFonts w:asciiTheme="majorHAnsi" w:hAnsiTheme="majorHAnsi"/>
                <w:b/>
                <w:sz w:val="18"/>
                <w:szCs w:val="18"/>
              </w:rPr>
              <w:t>NE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F05A5D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E01B4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2683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E853B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DFEFB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3FD0D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DF0AB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50526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3C78E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9A75AB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E9A059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875580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8BE3FD5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5A3B90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4FD210C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EA0C68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B972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35B9F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CF25B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8BC18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2FD90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AAC2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6FB08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EEAA3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0A8AC9E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747ED8D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D310B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34293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41F32A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6DF3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30D79A6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4700B22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00BEEAF2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03EC172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5D71176F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69CE1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B7586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6BE82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1599EA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4CC1C2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3E311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428FFFE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8A0A0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16E8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38F6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7D1A6E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BE99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7514F3">
              <w:rPr>
                <w:rFonts w:asciiTheme="majorHAnsi" w:hAnsiTheme="majorHAnsi"/>
                <w:b/>
                <w:sz w:val="18"/>
                <w:szCs w:val="18"/>
              </w:rPr>
              <w:t>45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756D382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6BEEC96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2B234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99B1E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EDF66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B6186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76554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1B04C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A0FED7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591D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8809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1540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31CB0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71C7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514F3">
              <w:rPr>
                <w:rFonts w:asciiTheme="majorHAnsi" w:hAnsiTheme="majorHAnsi" w:cs="Arial"/>
                <w:b/>
                <w:sz w:val="18"/>
                <w:szCs w:val="18"/>
              </w:rPr>
              <w:t>122.2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0B3D3C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B930516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236D8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D248F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E9053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1CF84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11153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2CAA9D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DD174F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09C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B788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C0BDD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8FB4D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DDC68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56E13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514F3">
              <w:rPr>
                <w:rFonts w:asciiTheme="majorHAnsi" w:hAnsiTheme="majorHAnsi" w:cs="Arial"/>
                <w:b/>
                <w:sz w:val="18"/>
                <w:szCs w:val="18"/>
              </w:rPr>
              <w:t>167.2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680DA4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189A2F77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E1BA751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35EECC62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5238C1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FC31D6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5B4D108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65B1A0B1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08427C3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4C43D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7514F3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1094C1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84EBE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7299E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A6EA6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E535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13B09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0F462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A8318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25B44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266ED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8797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C9F0C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ECFF1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475F2B6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13A7A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0300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143445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44B67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E106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B833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F983A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B2856F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1396D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8DD8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899604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0B5D3C3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> Hemijsko inženjerstvo i tehnologije/Hemija i inženjerstvo materijala  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2046AA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4CD7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DF1E8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472AB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2C53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9EA5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24090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B915A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7C55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FBF3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05AA6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58031DC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>Dr.sc</w:t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i.</w:t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 Zoran Iličković, </w:t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redovni profesor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F62137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65FC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9348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23F3C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F0DC7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E9BA6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3D51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B8365C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9247B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6D66F9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97BC14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40AB7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kursa je dati studentima potrebna znanja vezana za biorazgradljive polimere kako sa aspekta hemije i dobijanja tako i sa aspekte njihove primjene u različitim oblastima. Studenti treba da se upoznaju sa principima i zakonitostima </w:t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biorazgradljivosti te da steknu uvid u danas najzastupljenije i najvažnije  vrste i tipove biorazgradljivih polimera.  Isto tako treba da se upoznaju sa njihovim glavnim osobenostima, i da ovladaju osnovnim načelima  njihovog dobijanja  te da  budu  mogućnosti odabrati najpodesniji biorazgradljivi polimer za određene oblasti primjene.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30ED7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B2C6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482FE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5F9B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EDFA8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54EF6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154B1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1D2C08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131A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F1DDB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6C7FC0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307366" w14:textId="77777777" w:rsidR="00CB72ED" w:rsidRPr="00B96B4F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Uspješnim savladavanjem ovog predmeta studenti će moći identificirati  i odrediti principe i načine dobijanja određenih vrsta biorazgradljivih polimera, te spoznati u u kojim oblastima je moguće upotrijebiti neki od biorazgradljivih polimera uz istovremeno definiranje njihove namjene.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DD57F9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1C68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E45C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B286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D0FC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384E9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CF994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5B5900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8C50A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BFF8C4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F2D3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634FA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>Kroz nastavni predmet Biorazgradljivi polimeri, studenti se upoznaju sa slijedećim nastavnim cjelinama:    Biopolimeri, definicija, vrste, svojstva, primjena. Pregled biorazgradljivih polimernih materijala i upoznavanje sa procesom biodegradacije polimera. Tehnike i postupci polimerne degradacije.  Osnovni mehanizmi, jednačine razgradnje, standardi za biorazgradljive polimere, biorazgradljive polimerne mješavine. Biorazgradljivi aromatski/alifatski poliesteri. Polimerni kompoziti na bazi skroba, termoplastični skrob, polimerni materijali koji kao punilo sadrže skrob. Proizvodi  od polimera na bazi skroba. Polilaktatna kiselina i njeni kopolimeri, polivinilni esteri, polivinil alkohol, polilaktoni.  Foto-biorazgradljivi polimerni materijali. Biorazgradljivi polimeri za poljoprivredu, Biorazgradljivi polimeri za ambalažiranje. Kontrola biorazgradljivosti dodatkom antioxidanata. Utjecaj biorazgradljivih polimernih materijala na okolinu i kontrolu otpada</w:t>
            </w:r>
            <w:r w:rsidR="00F84C3D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B4E9A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AFF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1D56F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430A6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5F59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EDEB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7E84A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89B00B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7512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546A9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0BBBA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336EA3" w14:textId="77777777" w:rsidR="007B7886" w:rsidRPr="007B7886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>Auditorna predavanja uz upotrebu multimedijalnih sredstava ( power point prezentacije) favorizirajući aktivno učešće i diskusiju studenata.</w:t>
            </w:r>
          </w:p>
          <w:p w14:paraId="3628387C" w14:textId="77777777" w:rsidR="00CB72ED" w:rsidRPr="00B96B4F" w:rsidRDefault="007B7886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>Praktičan rad na izradi i javnoj odbrani individualnih seminarskih radova.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CDEA27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2A978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0440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2B77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98D1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3B095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5B2D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5F32A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0B0BB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CD41B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33B60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27A982" w14:textId="77777777" w:rsidR="007B7886" w:rsidRPr="007B7886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Znanje i vještine ocjenjuju se  u toku semestra kroz: izradu  i usmenu odbranu seminarskog rada  i završni ispit. Studenti su obavezni da pristupe svim oblicima provjere znanja tokom semestra. </w:t>
            </w:r>
          </w:p>
          <w:p w14:paraId="229E9C8C" w14:textId="77777777" w:rsidR="007B7886" w:rsidRPr="007B7886" w:rsidRDefault="007B7886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U sklopu predispitnih obaveza studenti rade seminarski rad iz tematike sadržaja nastavnog predmeta koji predaje u pismenoj formi na pregled, ocjenu, te nakon usmene odbrane istog i mogu ostvariti 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50</w:t>
            </w: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bodova. </w:t>
            </w:r>
          </w:p>
          <w:p w14:paraId="39E862CD" w14:textId="77777777" w:rsidR="007B7886" w:rsidRPr="007B7886" w:rsidRDefault="007B7886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Prisutnost na predavanjima se ocjenjuje sa maksimalno 5 bodova . </w:t>
            </w:r>
          </w:p>
          <w:p w14:paraId="2323384D" w14:textId="77777777" w:rsidR="00CB72ED" w:rsidRPr="00B96B4F" w:rsidRDefault="007B7886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Završni ispit obuhvata cjelokupno gradivo. Na završnom ispitu student može osvojiti  maksimalno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7B7886">
              <w:rPr>
                <w:rFonts w:asciiTheme="majorHAnsi" w:hAnsiTheme="majorHAnsi" w:cs="Arial"/>
                <w:b/>
                <w:sz w:val="18"/>
                <w:szCs w:val="18"/>
              </w:rPr>
              <w:t>5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6CC26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DB96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1DB9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6647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7C08C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0CB74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84B9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76679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6A43E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BAE88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F9F87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EB03B4" w14:textId="05C1DE0E" w:rsidR="00CB72ED" w:rsidRPr="00B96B4F" w:rsidRDefault="00D070D9" w:rsidP="00691FE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 w:rsidRPr="007B7886"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EFB0C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BDD2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457B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597D7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266E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5DA1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0FEB8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7A39A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5E160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88063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B5BCC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03922A" w14:textId="77777777" w:rsidR="009076F0" w:rsidRDefault="00D070D9" w:rsidP="007B788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7886">
              <w:rPr>
                <w:rFonts w:asciiTheme="majorHAnsi" w:hAnsiTheme="majorHAnsi" w:cs="Arial"/>
                <w:b/>
                <w:sz w:val="18"/>
                <w:szCs w:val="18"/>
              </w:rPr>
              <w:t>1. Z.Iličković, Materijali sa predavanja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</w:p>
          <w:p w14:paraId="600B39D0" w14:textId="77777777" w:rsidR="00CB72ED" w:rsidRPr="00B96B4F" w:rsidRDefault="009076F0" w:rsidP="009076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C. Bastioli, Handbook of biodegradable polymer, Rapra, 2005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08BAA9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18C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EC82F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C95E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82BD9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54787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420FC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D05BB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1CEA0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49FF3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01606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5C2014" w14:textId="77777777" w:rsidR="009076F0" w:rsidRPr="009076F0" w:rsidRDefault="00D070D9" w:rsidP="009076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76F0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9076F0" w:rsidRPr="009076F0">
              <w:rPr>
                <w:rFonts w:asciiTheme="majorHAnsi" w:hAnsiTheme="majorHAnsi" w:cs="Arial"/>
                <w:b/>
                <w:sz w:val="18"/>
                <w:szCs w:val="18"/>
              </w:rPr>
              <w:t>R.Smith, Biodegradable polymers for industrial applications, CRC press, 2005</w:t>
            </w:r>
          </w:p>
          <w:p w14:paraId="1F475E82" w14:textId="77777777" w:rsidR="00CB72ED" w:rsidRPr="00B96B4F" w:rsidRDefault="009076F0" w:rsidP="009076F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076F0">
              <w:rPr>
                <w:rFonts w:asciiTheme="majorHAnsi" w:hAnsiTheme="majorHAnsi" w:cs="Arial"/>
                <w:b/>
                <w:sz w:val="18"/>
                <w:szCs w:val="18"/>
              </w:rPr>
              <w:t>2. G. Scott, Degradable polymers, principles and applications,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9076F0">
              <w:rPr>
                <w:rFonts w:asciiTheme="majorHAnsi" w:hAnsiTheme="majorHAnsi" w:cs="Arial"/>
                <w:b/>
                <w:sz w:val="18"/>
                <w:szCs w:val="18"/>
              </w:rPr>
              <w:t>Chapman and Hall, New York,1995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03761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DBBA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B9D79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33D62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021F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D7455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F285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326648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D5424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5D021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DB187B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EB7B05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9BE1E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46D9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720C0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E75EC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D0A420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D93B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5143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BA94BB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E36757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6A4658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E64DE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BE8829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9076F0">
              <w:rPr>
                <w:rFonts w:asciiTheme="majorHAnsi" w:hAnsiTheme="majorHAnsi" w:cs="Arial"/>
                <w:b/>
                <w:sz w:val="18"/>
                <w:szCs w:val="18"/>
              </w:rPr>
              <w:t>2024/25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A2EB54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4713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0CE54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691FC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799F33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B9162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36F79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D5585D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32AB96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9176DA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7EB5E1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DAB94F7" w14:textId="1D6E1836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E6D05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9E6D05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9E6D05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9E6D05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9E6D0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9E6D05" w:rsidRPr="009E6D0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9E6D05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9E6D05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9E6D05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3CDD8B6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A1443A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7674C32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87056E8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8C3001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BE724E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D80AF9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A3A9E54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BF29" w14:textId="77777777" w:rsidR="00DA248E" w:rsidRDefault="00DA248E">
      <w:pPr>
        <w:spacing w:line="240" w:lineRule="auto"/>
      </w:pPr>
      <w:r>
        <w:separator/>
      </w:r>
    </w:p>
  </w:endnote>
  <w:endnote w:type="continuationSeparator" w:id="0">
    <w:p w14:paraId="5A252572" w14:textId="77777777" w:rsidR="00DA248E" w:rsidRDefault="00DA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4E22AC50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53116BF" w14:textId="29724EA5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691FE4">
            <w:rPr>
              <w:rFonts w:ascii="Cambria" w:hAnsi="Cambria" w:cs="Calibri"/>
              <w:noProof/>
              <w:sz w:val="16"/>
              <w:szCs w:val="16"/>
            </w:rPr>
            <w:t>4.7.2024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742675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983592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F004A9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93A74C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29DA0D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42F8589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B01B7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0B01B7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3396736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7DF7" w14:textId="77777777" w:rsidR="00DA248E" w:rsidRDefault="00DA248E">
      <w:pPr>
        <w:spacing w:after="0"/>
      </w:pPr>
      <w:r>
        <w:separator/>
      </w:r>
    </w:p>
  </w:footnote>
  <w:footnote w:type="continuationSeparator" w:id="0">
    <w:p w14:paraId="791E27E5" w14:textId="77777777" w:rsidR="00DA248E" w:rsidRDefault="00DA24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BB68" w14:textId="77777777" w:rsidR="00CB72ED" w:rsidRDefault="00CB72ED">
    <w:pPr>
      <w:pStyle w:val="Header"/>
    </w:pPr>
  </w:p>
  <w:p w14:paraId="4D523F13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381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1B7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14C8B"/>
    <w:rsid w:val="003238B7"/>
    <w:rsid w:val="0032420C"/>
    <w:rsid w:val="00336BA1"/>
    <w:rsid w:val="003409CE"/>
    <w:rsid w:val="0034479D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D7A57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91FE4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4F3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B7886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076F0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6D05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248E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4C3D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0FAB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FEB48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E5A1A-9C3D-4D02-B789-F341EE22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8</cp:revision>
  <cp:lastPrinted>2024-03-19T08:24:00Z</cp:lastPrinted>
  <dcterms:created xsi:type="dcterms:W3CDTF">2024-05-24T10:14:00Z</dcterms:created>
  <dcterms:modified xsi:type="dcterms:W3CDTF">2024-07-04T10:14:00Z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