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DB57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1B78DCBA" wp14:editId="1B78DCBB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8DB58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B78DB59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B78DB5A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1B78DB5B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B78DB5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5C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B5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6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78DB5F" w14:textId="6A04F784" w:rsidR="00CB72ED" w:rsidRPr="00B96B4F" w:rsidRDefault="00D070D9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672BD">
              <w:rPr>
                <w:rFonts w:asciiTheme="majorHAnsi" w:hAnsiTheme="majorHAnsi" w:cs="Arial"/>
                <w:b/>
                <w:sz w:val="18"/>
                <w:szCs w:val="18"/>
              </w:rPr>
              <w:t>BIOHEMIJA PROBAVE I METABOLOZMA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6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78DB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B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B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6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B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B78DB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6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6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B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B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B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B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B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B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7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B7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B78DB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1B78DB7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B78DB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B78DB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B78DB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7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7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7C" w14:textId="6C6979D2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F03E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8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B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B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B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B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B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B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8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B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B78DB8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8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8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89" w14:textId="114189BE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F03E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9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B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B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B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B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B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9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B9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B78DB9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9A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1B78DB97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B78DB95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893A5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893A5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B78DB96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B78DB98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1B78DB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A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B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B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B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B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B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B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A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A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B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A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A5" w14:textId="6B2455AE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F03E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A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78DB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B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B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B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A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B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B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B1" w14:textId="1668FCA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F03EB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B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B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78DB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B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B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B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BB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B78DBB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C1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B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BBE" w14:textId="181897F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169B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78DBB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78DBC0" w14:textId="028B2093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169B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BC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B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B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B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B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B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B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CB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B78DB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B78DBC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BD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78DBC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78DBCD" w14:textId="30EF262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169BF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1B78DBC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C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1B78DBD0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78DBD1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B78DBD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B78DBD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B78DBD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B78DB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B78DB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B78DB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B78DB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78DB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E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78DBDB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DC" w14:textId="60DA160C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69BF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D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D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E0" w14:textId="391395AB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41BBA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1B78DBE8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B78DBE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B78DB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B78DB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1B78DB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B78DB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B78DB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E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78DBE9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EA" w14:textId="22ED78D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69BF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E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E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EE" w14:textId="7D873BE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41BBA">
              <w:rPr>
                <w:rFonts w:asciiTheme="majorHAnsi" w:hAnsiTheme="majorHAnsi"/>
                <w:b/>
                <w:sz w:val="18"/>
                <w:szCs w:val="18"/>
              </w:rPr>
              <w:t>127,42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B78DBF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B78DBF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B78DB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B78DB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B78DB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B78DB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78DB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BF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78DBF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F8" w14:textId="2799243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69BF">
              <w:rPr>
                <w:rFonts w:asciiTheme="majorHAnsi" w:hAnsiTheme="majorHAnsi" w:cs="Arial"/>
                <w:b/>
                <w:sz w:val="18"/>
                <w:szCs w:val="18"/>
              </w:rPr>
              <w:t xml:space="preserve">   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F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BF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BFC" w14:textId="14EA1E9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41BBA">
              <w:rPr>
                <w:rFonts w:asciiTheme="majorHAnsi" w:hAnsiTheme="majorHAnsi" w:cs="Arial"/>
                <w:b/>
                <w:sz w:val="18"/>
                <w:szCs w:val="18"/>
              </w:rPr>
              <w:t>161,17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B78DC0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B78DBFE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B78DBF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B78DC0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B78DC0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B78DC0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78DC0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1B78DC09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78DC05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C06" w14:textId="75264DEE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169B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78DC0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DC08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1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C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8DC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8DC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B78DC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B78DC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78DC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1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1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1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C14" w14:textId="5E2D4350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10A16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1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78DC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C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1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1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1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2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C20" w14:textId="2AF6FEC1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10A16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526D4C">
              <w:rPr>
                <w:rFonts w:asciiTheme="majorHAnsi" w:hAnsiTheme="majorHAnsi" w:cs="Arial"/>
                <w:b/>
                <w:sz w:val="18"/>
                <w:szCs w:val="18"/>
              </w:rPr>
              <w:t xml:space="preserve"> - nutricionizam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2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78DC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78DC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2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2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78DC2C" w14:textId="24FC1DC9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30" w:rsidRPr="00B63830">
              <w:rPr>
                <w:rFonts w:asciiTheme="majorHAnsi" w:hAnsiTheme="majorHAnsi" w:cs="Arial"/>
                <w:b/>
                <w:sz w:val="18"/>
                <w:szCs w:val="18"/>
              </w:rPr>
              <w:t>Dr.sc. Esmeralda Dautović, docent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3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3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3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593A4F" w14:textId="77777777" w:rsidR="00B63830" w:rsidRPr="00B63830" w:rsidRDefault="00D070D9" w:rsidP="00B63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30" w:rsidRPr="00B63830">
              <w:rPr>
                <w:rFonts w:asciiTheme="majorHAnsi" w:hAnsiTheme="majorHAnsi" w:cs="Arial"/>
                <w:b/>
                <w:sz w:val="18"/>
                <w:szCs w:val="18"/>
              </w:rPr>
              <w:t>Student stiče znanja vezano za biohemiju probave i metabolizam hrane.</w:t>
            </w:r>
          </w:p>
          <w:p w14:paraId="471EABD6" w14:textId="77777777" w:rsidR="00B63830" w:rsidRPr="00B63830" w:rsidRDefault="00B63830" w:rsidP="00B63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63830">
              <w:rPr>
                <w:rFonts w:asciiTheme="majorHAnsi" w:hAnsiTheme="majorHAnsi" w:cs="Arial"/>
                <w:b/>
                <w:sz w:val="18"/>
                <w:szCs w:val="18"/>
              </w:rPr>
              <w:t>1. Izgradnja stručnog pristupa u objašnjavanju sistema probave i metabolizam hrane</w:t>
            </w:r>
          </w:p>
          <w:p w14:paraId="7EB300FD" w14:textId="77777777" w:rsidR="00B63830" w:rsidRPr="00B63830" w:rsidRDefault="00B63830" w:rsidP="00B63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6383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2. Razvoj spoznaje o probavi i metabolizmu hrane, multidisciplinarno naslonjenoj na stečena znanja iz: nauke o hrani,</w:t>
            </w:r>
          </w:p>
          <w:p w14:paraId="1B78DC38" w14:textId="3439D85B" w:rsidR="00CB72ED" w:rsidRPr="00B96B4F" w:rsidRDefault="00B63830" w:rsidP="00B63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63830">
              <w:rPr>
                <w:rFonts w:asciiTheme="majorHAnsi" w:hAnsiTheme="majorHAnsi" w:cs="Arial"/>
                <w:b/>
                <w:sz w:val="18"/>
                <w:szCs w:val="18"/>
              </w:rPr>
              <w:t>biohemiji hrane, toksikologije hrane i srodnih predmeta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4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4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4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4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0583A9" w14:textId="4BFAB05B" w:rsidR="00B504C4" w:rsidRPr="00B504C4" w:rsidRDefault="00D070D9" w:rsidP="00B504C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04C4" w:rsidRPr="00B504C4">
              <w:rPr>
                <w:rFonts w:asciiTheme="majorHAnsi" w:hAnsiTheme="majorHAnsi" w:cs="Arial"/>
                <w:b/>
                <w:sz w:val="18"/>
                <w:szCs w:val="18"/>
              </w:rPr>
              <w:t>Sticanje znanja o biohemiji probave i metabolizmu hrane.</w:t>
            </w:r>
          </w:p>
          <w:p w14:paraId="3F989C13" w14:textId="77777777" w:rsidR="00B504C4" w:rsidRPr="00B504C4" w:rsidRDefault="00B504C4" w:rsidP="00B504C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04C4">
              <w:rPr>
                <w:rFonts w:asciiTheme="majorHAnsi" w:hAnsiTheme="majorHAnsi" w:cs="Arial"/>
                <w:b/>
                <w:sz w:val="18"/>
                <w:szCs w:val="18"/>
              </w:rPr>
              <w:t>Po završetku kursa student stiče osnovne kvalifikacije neophodne za proizvodnju nutritivno vrijedne hrane kao i</w:t>
            </w:r>
          </w:p>
          <w:p w14:paraId="1B78DC44" w14:textId="5CA848C9" w:rsidR="00CB72ED" w:rsidRPr="00B96B4F" w:rsidRDefault="00B504C4" w:rsidP="00B504C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04C4">
              <w:rPr>
                <w:rFonts w:asciiTheme="majorHAnsi" w:hAnsiTheme="majorHAnsi" w:cs="Arial"/>
                <w:b/>
                <w:sz w:val="18"/>
                <w:szCs w:val="18"/>
              </w:rPr>
              <w:t>savjetovanje o prehrani bazirano na poznavanju biohemije probave i metabolizma hrane.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4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4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4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5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78DC50" w14:textId="5FAF871F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A630B" w:rsidRPr="001A630B">
              <w:rPr>
                <w:rFonts w:asciiTheme="majorHAnsi" w:hAnsiTheme="majorHAnsi" w:cs="Arial"/>
                <w:b/>
                <w:sz w:val="18"/>
                <w:szCs w:val="18"/>
              </w:rPr>
              <w:t xml:space="preserve">Probavni sistem i probava hrane. Uloga probavnog sistema. Dijelovi probavnoga sistema. Enzimi u probavi. Enzimska hidroliza proteina, ugljičnih hidrata i lipida u probavnom sistemu. Specifično vrijeme probave nutrijenata. Absorbicija nutrijenata u probavnom traktu. Mehanizam gladi i sitosti. Metabolički putevi makronutrijenata: vode, proteina, ugljikohidrata i lipida. Uloga vitamina i minerala. Uloga protektivnih i biološki aktivnih komponenti hrane u metabolizmu: karotenoidi, polifenoli, flavonoidi, betaini, glikozidi, alkaloidi, saponini i drugi. Metabolizam materije i metabolizam energije. Anabolički i katabolički procesi. Biohemijski ciklusi. Termogeneza. Aerobna i anaerobna oksidacija. Ekskrecija produkata metabolizma. Hormonska regulacija - insulin, glukagon, kortizol. Integracija metabolizma.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5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5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5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5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44ABF9" w14:textId="77777777" w:rsidR="008A7FFC" w:rsidRPr="008A7FFC" w:rsidRDefault="00D070D9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A7FFC" w:rsidRPr="008A7FFC">
              <w:rPr>
                <w:rFonts w:asciiTheme="majorHAnsi" w:hAnsiTheme="majorHAnsi" w:cs="Arial"/>
                <w:b/>
                <w:sz w:val="18"/>
                <w:szCs w:val="18"/>
              </w:rPr>
              <w:t>1. Predavanja. Svaka metodska jedinica se razvija po principu: tema, ciljevi, nastavna strategija (predavanja,</w:t>
            </w:r>
          </w:p>
          <w:p w14:paraId="06861BBE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diskusija, diskusija u grupama), nastavna pitanja, izvori informacija-litertura. Radni materijal sa predavanja dostupan je studentima. </w:t>
            </w:r>
          </w:p>
          <w:p w14:paraId="61E308E9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2.Seminar. Student samostalo bira temu seminara ili u dogovoru s nastavnicima.</w:t>
            </w:r>
          </w:p>
          <w:p w14:paraId="1B78DC5C" w14:textId="5DD9B805" w:rsidR="00CB72ED" w:rsidRPr="00B96B4F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3.Konsultacije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6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6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6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78B17D" w14:textId="77777777" w:rsidR="008A7FFC" w:rsidRPr="008A7FFC" w:rsidRDefault="00D070D9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A7FFC"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Tokom trajanja kursa osigurava se permanentno praćenje stupnja dostignutih znanja studenta, kao i praćenje njihovih aktivnosti. Rad studenata se prati i ocjenjuje kontinuirano u toku semestra  trajnim praćenjem sveukupnog rada i znanja studenata u svim oblicima nastave. Provjera znanja se vrši pismeno i usmeno. </w:t>
            </w:r>
          </w:p>
          <w:p w14:paraId="183DD584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 teorijskog znanja obavljat će se putem parcijalnih ispita, završnog, popravnog i dodatnog popravnog ispita. </w:t>
            </w:r>
          </w:p>
          <w:p w14:paraId="1734D8E9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14:paraId="61721FB6" w14:textId="28737886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Pis</w:t>
            </w:r>
            <w:r w:rsidR="005E1E19">
              <w:rPr>
                <w:rFonts w:asciiTheme="majorHAnsi" w:hAnsiTheme="majorHAnsi" w:cs="Arial"/>
                <w:b/>
                <w:sz w:val="18"/>
                <w:szCs w:val="18"/>
              </w:rPr>
              <w:t>me</w:t>
            </w: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ni ispiti. Pismeni dio ispita je u formi testa kombiniranog sa zadacima i pismenim odgovorima. Student u toku trajanja predavanja pristupa polaganju I i II parcijalnog testa.  Prvi parcijalni ispit organizira se nakon što student odsluša 22 sata predavanja i obuhvata polovinu nastavnog gradiva. Drugi parcijalni ispit se organizira nakon što student odsluša  još 9 sati predavanja i obuhvata 20% teoretskog gradiva. </w:t>
            </w:r>
          </w:p>
          <w:p w14:paraId="72376461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mogu izraditi individualni ili grupni seminarski rad koji će obuhvatiti određenu tematiku iz sadržaja nastavnog predmeta i posebno se valorizirati.  Seminarski rad se u pisanoj formi predaje predmetnom nastavniku na pregled i ocjenu, a zatim se može prezentirati i usmeno. U izradi i prezentaciji grupnog seminarskog rada učestvuju svi studenti grupe, čije učešće se valorizira pojedinačno. </w:t>
            </w:r>
          </w:p>
          <w:p w14:paraId="5212C038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3464FC3C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Završni ispit podrazumijeva polaganje preostalog dijela teorijskog gradiva. Završni ispit je pismeni i/ili usmeni. Pravo izlaska na završni ispit imaju svi studenti. Popravni ispiti podrazumijevaju polaganje nepoloženih dijelova ispita. Ako student nije zadovoljan ocjenom može usmeno odgovarati da bi popravio ocjenu.</w:t>
            </w:r>
          </w:p>
          <w:p w14:paraId="212D661C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65B3119E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 svake pojedinačne provjere i iznosi najmanje 54% ukupno predviđenog i/ili traženog znanja i vještina.</w:t>
            </w:r>
          </w:p>
          <w:p w14:paraId="21B7C540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54 kumulativna boda.</w:t>
            </w:r>
          </w:p>
          <w:p w14:paraId="2216DC7A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 xml:space="preserve">Ukoliko se dokaže da je student prepisivao prilikom provjere znanja na ispitu, neće moći izaći na sljedeći ispitni rok. </w:t>
            </w:r>
          </w:p>
          <w:p w14:paraId="6214FEF2" w14:textId="77777777" w:rsidR="008A7FFC" w:rsidRPr="008A7FF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Upis ocjene. Studentima koji su zadovoljili na testovima + završni ispit, predmetni nastavnik upisuje ocjenu u indeks</w:t>
            </w:r>
          </w:p>
          <w:p w14:paraId="2C4AA7D5" w14:textId="77777777" w:rsidR="00E63C1C" w:rsidRDefault="008A7FF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7FFC">
              <w:rPr>
                <w:rFonts w:asciiTheme="majorHAnsi" w:hAnsiTheme="majorHAnsi" w:cs="Arial"/>
                <w:b/>
                <w:sz w:val="18"/>
                <w:szCs w:val="18"/>
              </w:rPr>
              <w:t>nakon završetka svih obaveza na predmetu (potpis predmetnog nastavnika u indeksu).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185FF57B" w14:textId="77777777" w:rsidR="00E63C1C" w:rsidRDefault="00E63C1C" w:rsidP="008A7F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7C7046BE" w14:textId="77777777" w:rsidR="00E63C1C" w:rsidRPr="00E63C1C" w:rsidRDefault="00FB48B6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E63C1C" w:rsidRPr="00E63C1C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 sadrži maksimalno 100 bodova, te se utvrđuje prema slijedećoj skali:</w:t>
            </w:r>
          </w:p>
          <w:p w14:paraId="7A56EDBE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73EB82A3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/minimalan i maksimalan broj bodova:  </w:t>
            </w:r>
          </w:p>
          <w:p w14:paraId="2CFFA7B8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</w:p>
          <w:p w14:paraId="66D20519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i aktivnost  na predavanjima     0-5      </w:t>
            </w:r>
          </w:p>
          <w:p w14:paraId="221A8652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>Seminarski rad       0-5</w:t>
            </w:r>
          </w:p>
          <w:p w14:paraId="6E9FC364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>Test I   24-40</w:t>
            </w:r>
          </w:p>
          <w:p w14:paraId="0217B7BC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>Test II  12-20</w:t>
            </w:r>
          </w:p>
          <w:p w14:paraId="62F06A0E" w14:textId="77777777" w:rsidR="00E63C1C" w:rsidRPr="00E63C1C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1B78DC68" w14:textId="3C219539" w:rsidR="00CB72ED" w:rsidRPr="00B96B4F" w:rsidRDefault="00E63C1C" w:rsidP="00E63C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63C1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18-30   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7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7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7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7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7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78DC74" w14:textId="0FD59FDE" w:rsidR="00CB72ED" w:rsidRPr="00B96B4F" w:rsidRDefault="00D070D9" w:rsidP="007814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0D19" w:rsidRPr="00A90D19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7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7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7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7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8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8E55EB" w14:textId="77777777" w:rsidR="00B064BD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064BD" w:rsidRPr="00B064BD">
              <w:rPr>
                <w:rFonts w:asciiTheme="majorHAnsi" w:hAnsiTheme="majorHAnsi" w:cs="Arial"/>
                <w:b/>
                <w:sz w:val="18"/>
                <w:szCs w:val="18"/>
              </w:rPr>
              <w:t>Lieberman M, Marks A, Smith C. Marksove osnove medicinske biohemije – klinički pristup. Data Status, Beograd, 2008.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1B78DC80" w14:textId="7D13C0A6" w:rsidR="00CB72ED" w:rsidRPr="00B96B4F" w:rsidRDefault="00B064B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Autorizovana predavanja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8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8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8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8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7102D5" w14:textId="77777777" w:rsidR="00B13C47" w:rsidRPr="00B13C47" w:rsidRDefault="00D070D9" w:rsidP="00B13C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13C47" w:rsidRPr="00B13C47">
              <w:rPr>
                <w:rFonts w:asciiTheme="majorHAnsi" w:hAnsiTheme="majorHAnsi" w:cs="Arial"/>
                <w:b/>
                <w:sz w:val="18"/>
                <w:szCs w:val="18"/>
              </w:rPr>
              <w:t>S.S.Gropper, J.L.Smith,J.L.Groff, Advanced Nutrition and Human Metabolism,Wadsworth, Belmont, 2005</w:t>
            </w:r>
          </w:p>
          <w:p w14:paraId="1B78DC8C" w14:textId="61867507" w:rsidR="00CB72ED" w:rsidRPr="00B96B4F" w:rsidRDefault="00B13C47" w:rsidP="00B13C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13C47">
              <w:rPr>
                <w:rFonts w:asciiTheme="majorHAnsi" w:hAnsiTheme="majorHAnsi" w:cs="Arial"/>
                <w:b/>
                <w:sz w:val="18"/>
                <w:szCs w:val="18"/>
              </w:rPr>
              <w:t>L.K.Mahan, S.Escott-Stump Krause's, Food, Nutrition &amp; Diet Therapy. 11 th ed., Elsevier, NewYork, 2007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9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9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8DC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9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78DC9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A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8DC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78DC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78DC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8DC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78DC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A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CA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B78DC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A5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78DCA4" w14:textId="18423B69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064BD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78DCAC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C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B78DC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B78DC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B78DC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B78DC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B78DC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8DCA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78DC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B78DCA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78DCB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B78DCB0" w14:textId="5EF13834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A3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66A3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66A3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66A3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66A3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966A3E" w:rsidRPr="00966A3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966A3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966A3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966A3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B78DCB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78DCB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B78DCB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B78DCB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B78DC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B78DCB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B78DCB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B78DCB9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8383" w14:textId="77777777" w:rsidR="00893A59" w:rsidRDefault="00893A59">
      <w:pPr>
        <w:spacing w:line="240" w:lineRule="auto"/>
      </w:pPr>
      <w:r>
        <w:separator/>
      </w:r>
    </w:p>
  </w:endnote>
  <w:endnote w:type="continuationSeparator" w:id="0">
    <w:p w14:paraId="7D64201C" w14:textId="77777777" w:rsidR="00893A59" w:rsidRDefault="00893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1B78DCC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B78DCC2" w14:textId="4F7D2A89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81491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B78DCC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B78DCC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B78DCC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B78DCC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1B78DCC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1B78DCC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4F55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4F5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B78DCC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1784" w14:textId="77777777" w:rsidR="00893A59" w:rsidRDefault="00893A59">
      <w:pPr>
        <w:spacing w:after="0"/>
      </w:pPr>
      <w:r>
        <w:separator/>
      </w:r>
    </w:p>
  </w:footnote>
  <w:footnote w:type="continuationSeparator" w:id="0">
    <w:p w14:paraId="40808812" w14:textId="77777777" w:rsidR="00893A59" w:rsidRDefault="00893A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DCC0" w14:textId="77777777" w:rsidR="00CB72ED" w:rsidRDefault="00CB72ED">
    <w:pPr>
      <w:pStyle w:val="Header"/>
    </w:pPr>
  </w:p>
  <w:p w14:paraId="1B78DCC1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95211"/>
    <w:rsid w:val="001A630B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1527E"/>
    <w:rsid w:val="00423524"/>
    <w:rsid w:val="0043584D"/>
    <w:rsid w:val="00441BBA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6D4C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E1E19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200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1491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3A59"/>
    <w:rsid w:val="00895B41"/>
    <w:rsid w:val="008A04C5"/>
    <w:rsid w:val="008A2E96"/>
    <w:rsid w:val="008A385F"/>
    <w:rsid w:val="008A7FFC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A3E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03EB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D19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064BD"/>
    <w:rsid w:val="00B13C47"/>
    <w:rsid w:val="00B14D16"/>
    <w:rsid w:val="00B22657"/>
    <w:rsid w:val="00B26874"/>
    <w:rsid w:val="00B37D1D"/>
    <w:rsid w:val="00B504C4"/>
    <w:rsid w:val="00B541C6"/>
    <w:rsid w:val="00B63830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69BF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72BD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3C1C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0A16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8DB57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6</cp:revision>
  <cp:lastPrinted>2024-03-19T08:24:00Z</cp:lastPrinted>
  <dcterms:created xsi:type="dcterms:W3CDTF">2024-04-17T12:00:00Z</dcterms:created>
  <dcterms:modified xsi:type="dcterms:W3CDTF">2024-07-04T11:05:00Z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