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F330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202841F0" wp14:editId="43765E84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E150A1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1EDF0250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6C687806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7ED16A86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3057F16F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F089B2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0DF449D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56CAA7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38D60438" w14:textId="77777777" w:rsidR="00CB72ED" w:rsidRPr="00B96B4F" w:rsidRDefault="00D070D9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505CA">
              <w:rPr>
                <w:rFonts w:asciiTheme="majorHAnsi" w:hAnsiTheme="majorHAnsi" w:cs="Arial"/>
                <w:b/>
                <w:sz w:val="18"/>
                <w:szCs w:val="18"/>
              </w:rPr>
              <w:t>Biološki aktivne komponente hrane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208B92F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D474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5758C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98A29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46C09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FA483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5484E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29A2D7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3B506C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32D2F8A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CA515A4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FCFA977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05BD32D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43C25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27748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53024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2E504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6D88E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CEF38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A018FCA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DC12DA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6701445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36A8CF2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051FA81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2A80588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8D18C5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725C7DE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8F61C56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4A9F4EB" w14:textId="77777777" w:rsidR="00CB72ED" w:rsidRPr="00B96B4F" w:rsidRDefault="00D070D9" w:rsidP="000206E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632E6B1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F716A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CFFB1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837F8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63774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88373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5FA80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91E728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9C8CF0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67BBC26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DF4662A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01BFE29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CF213F5" w14:textId="77777777" w:rsidR="00CB72ED" w:rsidRPr="00B96B4F" w:rsidRDefault="00D070D9" w:rsidP="000206E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829F78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40009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07F7F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64263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BDE62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D8243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97568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244F145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D0937C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35ADA94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B88F7F7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36D0D528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09E8DF67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70073B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70073B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45CF2525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48E3BC6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5F97BF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A6F4F46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09D98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9014A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18332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146D7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5C4D0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A88BA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EBC623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41200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C75654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42FBD3D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C109BA5" w14:textId="77777777" w:rsidR="00CB72ED" w:rsidRPr="00B96B4F" w:rsidRDefault="00D070D9" w:rsidP="000206E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792583E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7BC5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54608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ACAD3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22BDA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75728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5AF77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82DBC75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502BA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2A7532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EBCD12D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DA3C4AD" w14:textId="77777777" w:rsidR="00CB72ED" w:rsidRPr="00B96B4F" w:rsidRDefault="00D070D9" w:rsidP="000206E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8E0D673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B18B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23829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FA210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767B5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0BC7F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A7EAD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D7C8F9E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48FA11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0524BD3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05DA5AE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E9EA505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72D9E24" w14:textId="77777777" w:rsidR="00CB72ED" w:rsidRPr="00B96B4F" w:rsidRDefault="00D070D9" w:rsidP="000206E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C187F13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52CFFE5A" w14:textId="77777777" w:rsidR="00CB72ED" w:rsidRPr="00B96B4F" w:rsidRDefault="00D070D9" w:rsidP="000206E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6886B81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3A9B5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0AB10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D958B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D05BC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01AC8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E8384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F1F7912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0A90FEB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77889DE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A3C5340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57477A4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1E88B9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0E6FF940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9D022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0B7297EC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463AFE0B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6030C682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204DD431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075298EB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6C11A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9267E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14D89E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553CFB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F8A86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9A7C6B6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4D22E72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CB2AA" w14:textId="77777777" w:rsidR="00CB72ED" w:rsidRPr="00B96B4F" w:rsidRDefault="00D070D9" w:rsidP="000206E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F6F09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E546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DB9320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160B4" w14:textId="77777777" w:rsidR="00CB72ED" w:rsidRPr="00B96B4F" w:rsidRDefault="00D070D9" w:rsidP="00E04C5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04C5A" w:rsidRPr="00E04C5A">
              <w:rPr>
                <w:rFonts w:asciiTheme="majorHAnsi" w:hAnsiTheme="majorHAnsi" w:cs="Arial"/>
                <w:b/>
                <w:sz w:val="18"/>
                <w:szCs w:val="18"/>
              </w:rPr>
              <w:t>33,75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29C60504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747F0E8E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495E40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3FE2B2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76E72AB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1D5FD5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008C84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F174D20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CBB4498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34DE7" w14:textId="77777777" w:rsidR="00CB72ED" w:rsidRPr="00B96B4F" w:rsidRDefault="00D070D9" w:rsidP="000206E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C106E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AE817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956B17F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4016B" w14:textId="77777777" w:rsidR="00CB72ED" w:rsidRPr="00B96B4F" w:rsidRDefault="00D070D9" w:rsidP="00E04C5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04C5A" w:rsidRPr="00E04C5A">
              <w:rPr>
                <w:rFonts w:asciiTheme="majorHAnsi" w:hAnsiTheme="majorHAnsi" w:cs="Arial"/>
                <w:b/>
                <w:sz w:val="18"/>
                <w:szCs w:val="18"/>
              </w:rPr>
              <w:t>136,17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40777A92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0BF683A5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B24FB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4C5BE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512823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BE060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9EC7C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40CD22A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2A613B2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E79A3" w14:textId="77777777" w:rsidR="00CB72ED" w:rsidRPr="00B96B4F" w:rsidRDefault="00D070D9" w:rsidP="000206E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59D6A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EC673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8DFE80B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5C5AA" w14:textId="77777777" w:rsidR="00CB72ED" w:rsidRPr="00B96B4F" w:rsidRDefault="00D070D9" w:rsidP="00E04C5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04C5A" w:rsidRPr="00E04C5A">
              <w:rPr>
                <w:rFonts w:asciiTheme="majorHAnsi" w:hAnsiTheme="majorHAnsi" w:cs="Arial"/>
                <w:b/>
                <w:sz w:val="18"/>
                <w:szCs w:val="18"/>
              </w:rPr>
              <w:t>169,92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15F9F9F3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AE77312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C363CE6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7CB28B6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37E589D6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BE5A7A9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45E0531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70E285C2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1F6AE41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7B852" w14:textId="77777777" w:rsidR="007B5F51" w:rsidRPr="00B96B4F" w:rsidRDefault="00D070D9" w:rsidP="00E04C5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04C5A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4B71148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EDBC9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7CE3C4E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D3258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F6F0F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2BEBC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A6402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9CA9A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CA097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EAAEA2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EC83F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8F1F2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18D6B4D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DE55227" w14:textId="77777777" w:rsidR="00CB72ED" w:rsidRPr="00B96B4F" w:rsidRDefault="00D070D9" w:rsidP="000206E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42B359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5A27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2A026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4FE5A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CDFBF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EB0F2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55C62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C775CA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B3AEA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04043D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985A6C3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A2A72DF" w14:textId="77777777" w:rsidR="00CB72ED" w:rsidRPr="00B96B4F" w:rsidRDefault="00D070D9" w:rsidP="000206E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206E3" w:rsidRPr="000206E3">
              <w:rPr>
                <w:rFonts w:asciiTheme="majorHAnsi" w:hAnsiTheme="majorHAnsi" w:cs="Arial"/>
                <w:b/>
                <w:sz w:val="18"/>
                <w:szCs w:val="18"/>
              </w:rPr>
              <w:t xml:space="preserve">  Prehrambena tehnologija/usmjerenje</w:t>
            </w:r>
            <w:r w:rsidR="000206E3">
              <w:rPr>
                <w:rFonts w:asciiTheme="majorHAnsi" w:hAnsiTheme="majorHAnsi" w:cs="Arial"/>
                <w:b/>
                <w:sz w:val="18"/>
                <w:szCs w:val="18"/>
              </w:rPr>
              <w:t xml:space="preserve"> Nutricionizam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F3FD799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5B40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2D31B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7E01F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C36E8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18EB2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A732A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F4CACD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3EC4D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611ADF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9184E1D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2B90479E" w14:textId="77777777" w:rsidR="00CB72ED" w:rsidRPr="00B96B4F" w:rsidRDefault="00D070D9" w:rsidP="003D00F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D00F9">
              <w:rPr>
                <w:rFonts w:asciiTheme="majorHAnsi" w:hAnsiTheme="majorHAnsi" w:cs="Arial"/>
                <w:b/>
                <w:sz w:val="18"/>
                <w:szCs w:val="18"/>
              </w:rPr>
              <w:t>dr.sci. Tijana Brčina, vanr.prof.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0E410E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79A6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A0667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2C843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7D7B8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9C283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6406E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3C1F3BE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6A925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B7CF4A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64532FA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2B0BAC1" w14:textId="77777777" w:rsidR="00A505CA" w:rsidRPr="00A505CA" w:rsidRDefault="00D070D9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505CA" w:rsidRPr="00A505CA">
              <w:rPr>
                <w:rFonts w:asciiTheme="majorHAnsi" w:hAnsiTheme="majorHAnsi" w:cs="Arial"/>
                <w:b/>
                <w:sz w:val="18"/>
                <w:szCs w:val="18"/>
              </w:rPr>
              <w:t>Po završetku kursa student stiče osnovne kvalifikacije neophodne za poznavanje specifičnih komponenti iz hrane koji</w:t>
            </w:r>
          </w:p>
          <w:p w14:paraId="00F96C56" w14:textId="77777777" w:rsidR="00A505CA" w:rsidRPr="00A505CA" w:rsidRDefault="00A505CA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505CA">
              <w:rPr>
                <w:rFonts w:asciiTheme="majorHAnsi" w:hAnsiTheme="majorHAnsi" w:cs="Arial"/>
                <w:b/>
                <w:sz w:val="18"/>
                <w:szCs w:val="18"/>
              </w:rPr>
              <w:t>imaju pozitivan efekat u očuvanju zdravlja i prevenciji bolesti. Specifični ciljevi su:</w:t>
            </w:r>
          </w:p>
          <w:p w14:paraId="7BBDDA35" w14:textId="77777777" w:rsidR="00A505CA" w:rsidRPr="00A505CA" w:rsidRDefault="00A505CA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505CA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1.Izgradnja stručnog pristupa razumijevanja specifičnih hemijskih sastojaka iz hrane njihovm utjecaju u očuvanju</w:t>
            </w:r>
          </w:p>
          <w:p w14:paraId="3D692196" w14:textId="77777777" w:rsidR="00A505CA" w:rsidRPr="00A505CA" w:rsidRDefault="00A505CA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505CA">
              <w:rPr>
                <w:rFonts w:asciiTheme="majorHAnsi" w:hAnsiTheme="majorHAnsi" w:cs="Arial"/>
                <w:b/>
                <w:sz w:val="18"/>
                <w:szCs w:val="18"/>
              </w:rPr>
              <w:t>zdravlja i prevenciji bolesti</w:t>
            </w:r>
          </w:p>
          <w:p w14:paraId="053A3FF4" w14:textId="77777777" w:rsidR="00A505CA" w:rsidRPr="00A505CA" w:rsidRDefault="00A505CA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505CA">
              <w:rPr>
                <w:rFonts w:asciiTheme="majorHAnsi" w:hAnsiTheme="majorHAnsi" w:cs="Arial"/>
                <w:b/>
                <w:sz w:val="18"/>
                <w:szCs w:val="18"/>
              </w:rPr>
              <w:t>2.Razvoj spoznaje o biološki aktivnim komponentama naslonjenoj na stečena znanja iz: nauke o hrani, organsku i</w:t>
            </w:r>
          </w:p>
          <w:p w14:paraId="26B4198E" w14:textId="77777777" w:rsidR="00CB72ED" w:rsidRPr="00B96B4F" w:rsidRDefault="00A505CA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505CA">
              <w:rPr>
                <w:rFonts w:asciiTheme="majorHAnsi" w:hAnsiTheme="majorHAnsi" w:cs="Arial"/>
                <w:b/>
                <w:sz w:val="18"/>
                <w:szCs w:val="18"/>
              </w:rPr>
              <w:t>biohemiju te bi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o</w:t>
            </w:r>
            <w:r w:rsidRPr="00A505CA">
              <w:rPr>
                <w:rFonts w:asciiTheme="majorHAnsi" w:hAnsiTheme="majorHAnsi" w:cs="Arial"/>
                <w:b/>
                <w:sz w:val="18"/>
                <w:szCs w:val="18"/>
              </w:rPr>
              <w:t>h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Pr="00A505CA">
              <w:rPr>
                <w:rFonts w:asciiTheme="majorHAnsi" w:hAnsiTheme="majorHAnsi" w:cs="Arial"/>
                <w:b/>
                <w:sz w:val="18"/>
                <w:szCs w:val="18"/>
              </w:rPr>
              <w:t>miji hrane itd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8184BE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C18B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706BA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82D0A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2F4E5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81D5E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9B461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CEE52C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23C88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2D1FD4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302562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EA68CB" w14:textId="77777777" w:rsidR="00A505CA" w:rsidRPr="00A505CA" w:rsidRDefault="00D070D9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505CA" w:rsidRPr="00A505CA">
              <w:rPr>
                <w:rFonts w:asciiTheme="majorHAnsi" w:hAnsiTheme="majorHAnsi" w:cs="Arial"/>
                <w:b/>
                <w:sz w:val="18"/>
                <w:szCs w:val="18"/>
              </w:rPr>
              <w:t>St</w:t>
            </w:r>
            <w:r w:rsidR="00A505CA">
              <w:rPr>
                <w:rFonts w:asciiTheme="majorHAnsi" w:hAnsiTheme="majorHAnsi" w:cs="Arial"/>
                <w:b/>
                <w:sz w:val="18"/>
                <w:szCs w:val="18"/>
              </w:rPr>
              <w:t>je</w:t>
            </w:r>
            <w:r w:rsidR="00A505CA" w:rsidRPr="00A505CA">
              <w:rPr>
                <w:rFonts w:asciiTheme="majorHAnsi" w:hAnsiTheme="majorHAnsi" w:cs="Arial"/>
                <w:b/>
                <w:sz w:val="18"/>
                <w:szCs w:val="18"/>
              </w:rPr>
              <w:t>canje znanja o domene upotrebe Biološki aktivnih komponenti hrane i njihov</w:t>
            </w:r>
            <w:r w:rsidR="00A505CA">
              <w:rPr>
                <w:rFonts w:asciiTheme="majorHAnsi" w:hAnsiTheme="majorHAnsi" w:cs="Arial"/>
                <w:b/>
                <w:sz w:val="18"/>
                <w:szCs w:val="18"/>
              </w:rPr>
              <w:t>o</w:t>
            </w:r>
            <w:r w:rsidR="00A505CA" w:rsidRPr="00A505CA">
              <w:rPr>
                <w:rFonts w:asciiTheme="majorHAnsi" w:hAnsiTheme="majorHAnsi" w:cs="Arial"/>
                <w:b/>
                <w:sz w:val="18"/>
                <w:szCs w:val="18"/>
              </w:rPr>
              <w:t>m utjecaju u očuvanju zdravlja i</w:t>
            </w:r>
          </w:p>
          <w:p w14:paraId="34C31F0B" w14:textId="77777777" w:rsidR="00A505CA" w:rsidRPr="00A505CA" w:rsidRDefault="00A505CA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505CA">
              <w:rPr>
                <w:rFonts w:asciiTheme="majorHAnsi" w:hAnsiTheme="majorHAnsi" w:cs="Arial"/>
                <w:b/>
                <w:sz w:val="18"/>
                <w:szCs w:val="18"/>
              </w:rPr>
              <w:t>prevenciji bolesti. Po završetku kursa student st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je</w:t>
            </w:r>
            <w:r w:rsidRPr="00A505CA">
              <w:rPr>
                <w:rFonts w:asciiTheme="majorHAnsi" w:hAnsiTheme="majorHAnsi" w:cs="Arial"/>
                <w:b/>
                <w:sz w:val="18"/>
                <w:szCs w:val="18"/>
              </w:rPr>
              <w:t>če osnovne kvalifikacije neophodne za savjetovanj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Pr="00A505CA">
              <w:rPr>
                <w:rFonts w:asciiTheme="majorHAnsi" w:hAnsiTheme="majorHAnsi" w:cs="Arial"/>
                <w:b/>
                <w:sz w:val="18"/>
                <w:szCs w:val="18"/>
              </w:rPr>
              <w:t xml:space="preserve"> zdravih osoba o</w:t>
            </w:r>
          </w:p>
          <w:p w14:paraId="3C8AC708" w14:textId="77777777" w:rsidR="00CB72ED" w:rsidRPr="00B96B4F" w:rsidRDefault="00A505CA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505CA">
              <w:rPr>
                <w:rFonts w:asciiTheme="majorHAnsi" w:hAnsiTheme="majorHAnsi" w:cs="Arial"/>
                <w:b/>
                <w:sz w:val="18"/>
                <w:szCs w:val="18"/>
              </w:rPr>
              <w:t xml:space="preserve">očuvanju zdravlja i prevenciji bolesti konzumiranjem hrane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k</w:t>
            </w:r>
            <w:r w:rsidRPr="00A505CA">
              <w:rPr>
                <w:rFonts w:asciiTheme="majorHAnsi" w:hAnsiTheme="majorHAnsi" w:cs="Arial"/>
                <w:b/>
                <w:sz w:val="18"/>
                <w:szCs w:val="18"/>
              </w:rPr>
              <w:t>oja sadrži biološki aktivne komponente.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06C21B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B0AE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42DC5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AF0961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ABA1F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165F7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FE006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52A915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554D4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6819B2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09E8CB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15C251" w14:textId="77777777" w:rsidR="00A505CA" w:rsidRPr="00A505CA" w:rsidRDefault="00D070D9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505CA">
              <w:rPr>
                <w:rFonts w:asciiTheme="majorHAnsi" w:hAnsiTheme="majorHAnsi" w:cs="Arial"/>
                <w:b/>
                <w:sz w:val="18"/>
                <w:szCs w:val="18"/>
              </w:rPr>
              <w:t>K</w:t>
            </w:r>
            <w:r w:rsidR="00A505CA" w:rsidRPr="00A505CA">
              <w:rPr>
                <w:rFonts w:asciiTheme="majorHAnsi" w:hAnsiTheme="majorHAnsi" w:cs="Arial"/>
                <w:b/>
                <w:sz w:val="18"/>
                <w:szCs w:val="18"/>
              </w:rPr>
              <w:t>emijski sastav posebno nutritivno vrijednih komponente hrane prema porijeklu. Nutritivne BAK</w:t>
            </w:r>
          </w:p>
          <w:p w14:paraId="26CC7ADD" w14:textId="77777777" w:rsidR="00A505CA" w:rsidRPr="00A505CA" w:rsidRDefault="00A505CA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505CA">
              <w:rPr>
                <w:rFonts w:asciiTheme="majorHAnsi" w:hAnsiTheme="majorHAnsi" w:cs="Arial"/>
                <w:b/>
                <w:sz w:val="18"/>
                <w:szCs w:val="18"/>
              </w:rPr>
              <w:t>hrane. Nenutritivne BAK hrane.</w:t>
            </w:r>
          </w:p>
          <w:p w14:paraId="0D92372C" w14:textId="77777777" w:rsidR="00A505CA" w:rsidRPr="00A505CA" w:rsidRDefault="00A505CA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505CA">
              <w:rPr>
                <w:rFonts w:asciiTheme="majorHAnsi" w:hAnsiTheme="majorHAnsi" w:cs="Arial"/>
                <w:b/>
                <w:sz w:val="18"/>
                <w:szCs w:val="18"/>
              </w:rPr>
              <w:t>Utjecaj na zdravlje. Djelovanje BAK-a na pojedine sisteme u organizmu. Utjecaj pojedinih fitokemikalija na zdravlje</w:t>
            </w:r>
          </w:p>
          <w:p w14:paraId="3D5B4004" w14:textId="77777777" w:rsidR="00A505CA" w:rsidRPr="00A505CA" w:rsidRDefault="00A505CA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505CA">
              <w:rPr>
                <w:rFonts w:asciiTheme="majorHAnsi" w:hAnsiTheme="majorHAnsi" w:cs="Arial"/>
                <w:b/>
                <w:sz w:val="18"/>
                <w:szCs w:val="18"/>
              </w:rPr>
              <w:t>Zaštitni efekat biološki aktivnih tvari.</w:t>
            </w:r>
          </w:p>
          <w:p w14:paraId="70B3B9A9" w14:textId="77777777" w:rsidR="00A505CA" w:rsidRPr="00A505CA" w:rsidRDefault="00A505CA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505CA">
              <w:rPr>
                <w:rFonts w:asciiTheme="majorHAnsi" w:hAnsiTheme="majorHAnsi" w:cs="Arial"/>
                <w:b/>
                <w:sz w:val="18"/>
                <w:szCs w:val="18"/>
              </w:rPr>
              <w:t>Slobodni radikali i antioksidanti u hrani. Najčešće posljedice oksidativnih promjena. Oksidacijski stres. Zaštita od</w:t>
            </w:r>
          </w:p>
          <w:p w14:paraId="39E66AED" w14:textId="77777777" w:rsidR="00A505CA" w:rsidRPr="00A505CA" w:rsidRDefault="00A505CA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505CA">
              <w:rPr>
                <w:rFonts w:asciiTheme="majorHAnsi" w:hAnsiTheme="majorHAnsi" w:cs="Arial"/>
                <w:b/>
                <w:sz w:val="18"/>
                <w:szCs w:val="18"/>
              </w:rPr>
              <w:t xml:space="preserve">oksidacijskih promjena.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K</w:t>
            </w:r>
            <w:r w:rsidRPr="00A505CA">
              <w:rPr>
                <w:rFonts w:asciiTheme="majorHAnsi" w:hAnsiTheme="majorHAnsi" w:cs="Arial"/>
                <w:b/>
                <w:sz w:val="18"/>
                <w:szCs w:val="18"/>
              </w:rPr>
              <w:t>emizam djelovanja antioksidanta Antioksidanti u hrani Karcinogene i mutagene tvari iz</w:t>
            </w:r>
          </w:p>
          <w:p w14:paraId="57A0DA8A" w14:textId="77777777" w:rsidR="00A505CA" w:rsidRPr="00A505CA" w:rsidRDefault="00A505CA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505CA">
              <w:rPr>
                <w:rFonts w:asciiTheme="majorHAnsi" w:hAnsiTheme="majorHAnsi" w:cs="Arial"/>
                <w:b/>
                <w:sz w:val="18"/>
                <w:szCs w:val="18"/>
              </w:rPr>
              <w:t>hrane. Etika, samosvjesnost u proizvodnji hrane. Aktivni sastojci u dodacima prehrani i dijetetskim proizvodima.</w:t>
            </w:r>
          </w:p>
          <w:p w14:paraId="50ECD52C" w14:textId="77777777" w:rsidR="00A505CA" w:rsidRPr="00A505CA" w:rsidRDefault="00A505CA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505CA">
              <w:rPr>
                <w:rFonts w:asciiTheme="majorHAnsi" w:hAnsiTheme="majorHAnsi" w:cs="Arial"/>
                <w:b/>
                <w:sz w:val="18"/>
                <w:szCs w:val="18"/>
              </w:rPr>
              <w:t>Eks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trakcija</w:t>
            </w:r>
            <w:r w:rsidRPr="00A505CA">
              <w:rPr>
                <w:rFonts w:asciiTheme="majorHAnsi" w:hAnsiTheme="majorHAnsi" w:cs="Arial"/>
                <w:b/>
                <w:sz w:val="18"/>
                <w:szCs w:val="18"/>
              </w:rPr>
              <w:t xml:space="preserve"> aktivnih sastojaka iz hrane.</w:t>
            </w:r>
          </w:p>
          <w:p w14:paraId="28BAC82F" w14:textId="77777777" w:rsidR="00CB72ED" w:rsidRPr="00B96B4F" w:rsidRDefault="00D070D9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F837A7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881F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A1CB4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A55DB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ADAB9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4064C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0B94B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5835B0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FD11E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4A47E0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6A1561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4749B9" w14:textId="77777777" w:rsidR="00C25A23" w:rsidRPr="00C25A23" w:rsidRDefault="00D070D9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25A23" w:rsidRPr="00C25A23">
              <w:rPr>
                <w:rFonts w:asciiTheme="majorHAnsi" w:hAnsiTheme="majorHAnsi" w:cs="Arial"/>
                <w:b/>
                <w:sz w:val="18"/>
                <w:szCs w:val="18"/>
              </w:rPr>
              <w:t>- Predavanja uz upotrebu multimedijalnih sredstava, tehnika aktivnog učenja i rasprava studenata, po potrebi učenje na daljinu</w:t>
            </w:r>
          </w:p>
          <w:p w14:paraId="68E40A8F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- Izrada i prezentacija seminarskog rada</w:t>
            </w:r>
          </w:p>
          <w:p w14:paraId="0F75ED50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- Terenska nastava/posjete</w:t>
            </w:r>
            <w:r w:rsidR="0088649C">
              <w:rPr>
                <w:rFonts w:asciiTheme="majorHAnsi" w:hAnsiTheme="majorHAnsi" w:cs="Arial"/>
                <w:b/>
                <w:sz w:val="18"/>
                <w:szCs w:val="18"/>
              </w:rPr>
              <w:t>, radionice</w:t>
            </w:r>
          </w:p>
          <w:p w14:paraId="3A1DD5FA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- Samostalno učenje</w:t>
            </w:r>
          </w:p>
          <w:p w14:paraId="25A6AF57" w14:textId="77777777" w:rsidR="00CB72ED" w:rsidRPr="00B96B4F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 xml:space="preserve">- Konzultacije kod predmetnog nastavnika 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35B37A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6FFC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14805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30C44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8A550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903D6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3565D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F361D2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72079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A9AC9A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49588F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0917B8" w14:textId="77777777" w:rsidR="00C25A23" w:rsidRPr="00C25A23" w:rsidRDefault="00D070D9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25A23" w:rsidRPr="00C25A23">
              <w:rPr>
                <w:rFonts w:asciiTheme="majorHAnsi" w:hAnsiTheme="majorHAnsi" w:cs="Arial"/>
                <w:b/>
                <w:sz w:val="18"/>
                <w:szCs w:val="18"/>
              </w:rPr>
              <w:t xml:space="preserve">Provjera znanja vršit će se putem testa 1, izrade i prezentacije seminarskog rada nakon prve polovine semestra i testa 2 na kraju semestra. Testovi 1 i 2 se sastoji od po 5 pitanja, a svako pitanje nosi  6 bodova. Oba testa polažu svi studenti na predmetu istovremeno, čime je postignuta ujednačenost nivoa znanja koje se testira, kao i uvjeti pod kojima student polaže ispit. </w:t>
            </w:r>
          </w:p>
          <w:p w14:paraId="19DFAA50" w14:textId="77777777" w:rsidR="00CB72ED" w:rsidRPr="00B96B4F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Studenti koji nisu položili ispit u akademskoj godini, kada prvi puta slušaju predmet, polažu preostale ispitne obaveze po važećim Aktima Univerziteta u Tuzli.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2DD009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B363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7EF0A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873F4E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387E2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F107B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669C5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1320FA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6D0CA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8B546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C9DDBB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8EFC11" w14:textId="77777777" w:rsidR="00C25A23" w:rsidRPr="00C25A23" w:rsidRDefault="00D070D9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25A23" w:rsidRPr="00C25A23">
              <w:rPr>
                <w:rFonts w:asciiTheme="majorHAnsi" w:hAnsiTheme="majorHAnsi" w:cs="Arial"/>
                <w:b/>
                <w:sz w:val="18"/>
                <w:szCs w:val="18"/>
              </w:rPr>
              <w:t>Ocjena na ispitu zasnovana je na ukupnom broju bodova (54-100) koje je student stekao ispunjavanjem obaveza i polaganjem ispita, i utvrđuje se prema slijedećoj skali:</w:t>
            </w:r>
          </w:p>
          <w:p w14:paraId="6068EAD2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Obaveze studenata                                 Bodovi (min.-max)</w:t>
            </w:r>
          </w:p>
          <w:p w14:paraId="3405618B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- Prisustvo i aktivnost na predavanjima   (4-10)</w:t>
            </w:r>
          </w:p>
          <w:p w14:paraId="4D7BD083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- Seminarski rad - izrada i prezentacija    (20-30)</w:t>
            </w:r>
          </w:p>
          <w:p w14:paraId="21FB0237" w14:textId="77777777" w:rsidR="00C25A23" w:rsidRPr="00C25A23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>- Test 1   (15-30)</w:t>
            </w:r>
          </w:p>
          <w:p w14:paraId="3590BC8A" w14:textId="77777777" w:rsidR="00CB72ED" w:rsidRPr="00B96B4F" w:rsidRDefault="00C25A23" w:rsidP="00C25A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25A23">
              <w:rPr>
                <w:rFonts w:asciiTheme="majorHAnsi" w:hAnsiTheme="majorHAnsi" w:cs="Arial"/>
                <w:b/>
                <w:sz w:val="18"/>
                <w:szCs w:val="18"/>
              </w:rPr>
              <w:t xml:space="preserve">- Test 2   (15-30)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81DDAC9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01DBD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55A6B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8CC2C5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BCE32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086F9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52D5B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0B63DF9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5F0B1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539426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3601BD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741BEC" w14:textId="77777777" w:rsidR="00CB72ED" w:rsidRPr="00B96B4F" w:rsidRDefault="00D070D9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505CA" w:rsidRPr="00A505CA">
              <w:rPr>
                <w:rFonts w:asciiTheme="majorHAnsi" w:hAnsiTheme="majorHAnsi" w:cs="Arial"/>
                <w:b/>
                <w:sz w:val="18"/>
                <w:szCs w:val="18"/>
              </w:rPr>
              <w:t>Kukric</w:t>
            </w:r>
            <w:r w:rsidR="00A505CA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A505CA" w:rsidRPr="00A505CA">
              <w:rPr>
                <w:rFonts w:asciiTheme="majorHAnsi" w:hAnsiTheme="majorHAnsi" w:cs="Arial"/>
                <w:b/>
                <w:sz w:val="18"/>
                <w:szCs w:val="18"/>
              </w:rPr>
              <w:t xml:space="preserve"> Z</w:t>
            </w:r>
            <w:r w:rsidR="00A505CA">
              <w:rPr>
                <w:rFonts w:asciiTheme="majorHAnsi" w:hAnsiTheme="majorHAnsi" w:cs="Arial"/>
                <w:b/>
                <w:sz w:val="18"/>
                <w:szCs w:val="18"/>
              </w:rPr>
              <w:t>.,</w:t>
            </w:r>
            <w:r w:rsidR="00A505CA" w:rsidRPr="00A505CA">
              <w:rPr>
                <w:rFonts w:asciiTheme="majorHAnsi" w:hAnsiTheme="majorHAnsi" w:cs="Arial"/>
                <w:b/>
                <w:sz w:val="18"/>
                <w:szCs w:val="18"/>
              </w:rPr>
              <w:t xml:space="preserve">  Ja</w:t>
            </w:r>
            <w:r w:rsidR="00A505CA">
              <w:rPr>
                <w:rFonts w:asciiTheme="majorHAnsi" w:hAnsiTheme="majorHAnsi" w:cs="Arial"/>
                <w:b/>
                <w:sz w:val="18"/>
                <w:szCs w:val="18"/>
              </w:rPr>
              <w:t>š</w:t>
            </w:r>
            <w:r w:rsidR="00A505CA" w:rsidRPr="00A505CA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A505CA">
              <w:rPr>
                <w:rFonts w:asciiTheme="majorHAnsi" w:hAnsiTheme="majorHAnsi" w:cs="Arial"/>
                <w:b/>
                <w:sz w:val="18"/>
                <w:szCs w:val="18"/>
              </w:rPr>
              <w:t>ć,</w:t>
            </w:r>
            <w:r w:rsidR="00A505CA" w:rsidRPr="00A505CA">
              <w:rPr>
                <w:rFonts w:asciiTheme="majorHAnsi" w:hAnsiTheme="majorHAnsi" w:cs="Arial"/>
                <w:b/>
                <w:sz w:val="18"/>
                <w:szCs w:val="18"/>
              </w:rPr>
              <w:t xml:space="preserve"> M. (2013)</w:t>
            </w:r>
            <w:r w:rsidR="00A505CA">
              <w:rPr>
                <w:rFonts w:asciiTheme="majorHAnsi" w:hAnsiTheme="majorHAnsi" w:cs="Arial"/>
                <w:b/>
                <w:sz w:val="18"/>
                <w:szCs w:val="18"/>
              </w:rPr>
              <w:t>:</w:t>
            </w:r>
            <w:r w:rsidR="00A505CA" w:rsidRPr="00A505CA">
              <w:rPr>
                <w:rFonts w:asciiTheme="majorHAnsi" w:hAnsiTheme="majorHAnsi" w:cs="Arial"/>
                <w:b/>
                <w:sz w:val="18"/>
                <w:szCs w:val="18"/>
              </w:rPr>
              <w:t xml:space="preserve"> Biološki aktivne kom</w:t>
            </w:r>
            <w:r w:rsidR="00A505CA">
              <w:rPr>
                <w:rFonts w:asciiTheme="majorHAnsi" w:hAnsiTheme="majorHAnsi" w:cs="Arial"/>
                <w:b/>
                <w:sz w:val="18"/>
                <w:szCs w:val="18"/>
              </w:rPr>
              <w:t>p</w:t>
            </w:r>
            <w:r w:rsidR="00A505CA" w:rsidRPr="00A505CA">
              <w:rPr>
                <w:rFonts w:asciiTheme="majorHAnsi" w:hAnsiTheme="majorHAnsi" w:cs="Arial"/>
                <w:b/>
                <w:sz w:val="18"/>
                <w:szCs w:val="18"/>
              </w:rPr>
              <w:t>onente hrane. Univerziteti Tuzla-Banja Luka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F6F127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196DD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F96827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C1777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B49AD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495CF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253AF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7F718A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240E1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93C438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5C68ECB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78FE74" w14:textId="4E80FE6C" w:rsidR="00CB72ED" w:rsidRPr="00B96B4F" w:rsidRDefault="00D070D9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F55A5" w:rsidRPr="004F55A5">
              <w:rPr>
                <w:rFonts w:asciiTheme="majorHAnsi" w:hAnsiTheme="majorHAnsi" w:cs="Arial"/>
                <w:b/>
                <w:sz w:val="18"/>
                <w:szCs w:val="18"/>
              </w:rPr>
              <w:t>Gilbert, J., Şenyuva H. (2009): Bioactive Compounds in Foods, Wiley-Blackwell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F774E2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60D5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6FA64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F0143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E98E6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AC0FE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8E189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97BE8C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FE248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6CD352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293CF4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9E50E4" w14:textId="77777777" w:rsidR="00F4342E" w:rsidRDefault="00D070D9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505CA" w:rsidRPr="00A505CA">
              <w:rPr>
                <w:rFonts w:asciiTheme="majorHAnsi" w:hAnsiTheme="majorHAnsi" w:cs="Arial"/>
                <w:b/>
                <w:sz w:val="18"/>
                <w:szCs w:val="18"/>
              </w:rPr>
              <w:t>https://www.ncbi.nlm.nih.gov/pmc/articles/PMC1731363/pdf/v054p00176.pdf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</w:p>
          <w:p w14:paraId="61922DEB" w14:textId="77777777" w:rsidR="00F4342E" w:rsidRDefault="00F4342E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4342E">
              <w:rPr>
                <w:rFonts w:asciiTheme="majorHAnsi" w:hAnsiTheme="majorHAnsi" w:cs="Arial"/>
                <w:b/>
                <w:sz w:val="18"/>
                <w:szCs w:val="18"/>
              </w:rPr>
              <w:t>https://www.ncbi.nlm.nih.gov/pmc/articles/PMC6432691/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</w:p>
          <w:p w14:paraId="3FF86A36" w14:textId="77777777" w:rsidR="00F4342E" w:rsidRDefault="00F4342E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4342E">
              <w:rPr>
                <w:rFonts w:asciiTheme="majorHAnsi" w:hAnsiTheme="majorHAnsi" w:cs="Arial"/>
                <w:b/>
                <w:sz w:val="18"/>
                <w:szCs w:val="18"/>
              </w:rPr>
              <w:t>https://www.sciencedirect.com/science/article/abs/pii/S2212429221004454</w:t>
            </w:r>
          </w:p>
          <w:p w14:paraId="380F6B4A" w14:textId="77777777" w:rsidR="00CB72ED" w:rsidRPr="00B96B4F" w:rsidRDefault="00D070D9" w:rsidP="00A505C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6958AC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837E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E9EBE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B09F0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76F47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3178D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9AC00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08C1964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1FAEE1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128C6F0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868CDCE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9B6E481" w14:textId="77777777" w:rsidR="00CB72ED" w:rsidRPr="00B96B4F" w:rsidRDefault="00D070D9" w:rsidP="002B3F0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B3F08" w:rsidRPr="002B3F08">
              <w:rPr>
                <w:rFonts w:asciiTheme="majorHAnsi" w:hAnsiTheme="majorHAnsi" w:cs="Arial"/>
                <w:b/>
                <w:sz w:val="18"/>
                <w:szCs w:val="18"/>
              </w:rPr>
              <w:t xml:space="preserve"> 2024/25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5C8E5D4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7AC20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216289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5C3DBA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4716DD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53298B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7BDCEE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1E0E325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725DD5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32A93EF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6CB8BE9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4B76C760" w14:textId="291FD690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86B2D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286B2D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286B2D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286B2D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286B2D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</w:t>
            </w:r>
            <w:r w:rsidR="00286B2D" w:rsidRPr="00286B2D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286B2D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</w:t>
            </w:r>
            <w:r w:rsidR="00FB48B6" w:rsidRPr="00286B2D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286B2D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2BE2988C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9C341E8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02C46070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42B46588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1DA7D8C5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4B33B730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1A077A11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2F02F971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EFF6B" w14:textId="77777777" w:rsidR="0070073B" w:rsidRDefault="0070073B">
      <w:pPr>
        <w:spacing w:line="240" w:lineRule="auto"/>
      </w:pPr>
      <w:r>
        <w:separator/>
      </w:r>
    </w:p>
  </w:endnote>
  <w:endnote w:type="continuationSeparator" w:id="0">
    <w:p w14:paraId="29D0CB83" w14:textId="77777777" w:rsidR="0070073B" w:rsidRDefault="00700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4964C649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2C0F9326" w14:textId="28CAABCB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4F55A5">
            <w:rPr>
              <w:rFonts w:ascii="Cambria" w:hAnsi="Cambria" w:cs="Calibri"/>
              <w:noProof/>
              <w:sz w:val="16"/>
              <w:szCs w:val="16"/>
            </w:rPr>
            <w:t>4.7.2024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6C8CF125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760BF832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443D9BC3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0A8D5C96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6C25AAAD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7C1193EC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8649C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8649C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3A17BA9B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C51E2" w14:textId="77777777" w:rsidR="0070073B" w:rsidRDefault="0070073B">
      <w:pPr>
        <w:spacing w:after="0"/>
      </w:pPr>
      <w:r>
        <w:separator/>
      </w:r>
    </w:p>
  </w:footnote>
  <w:footnote w:type="continuationSeparator" w:id="0">
    <w:p w14:paraId="2E9468AC" w14:textId="77777777" w:rsidR="0070073B" w:rsidRDefault="007007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DFAF" w14:textId="77777777" w:rsidR="00CB72ED" w:rsidRDefault="00CB72ED">
    <w:pPr>
      <w:pStyle w:val="Header"/>
    </w:pPr>
  </w:p>
  <w:p w14:paraId="154A1870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2D50"/>
    <w:rsid w:val="00013665"/>
    <w:rsid w:val="000206E3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18B4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86B2D"/>
    <w:rsid w:val="0029297C"/>
    <w:rsid w:val="00293BC4"/>
    <w:rsid w:val="002A2197"/>
    <w:rsid w:val="002A64FB"/>
    <w:rsid w:val="002A7A7D"/>
    <w:rsid w:val="002B3F08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00F9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5A5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0DED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0073B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49C"/>
    <w:rsid w:val="00886E08"/>
    <w:rsid w:val="0088700F"/>
    <w:rsid w:val="00895B41"/>
    <w:rsid w:val="008A04C5"/>
    <w:rsid w:val="008A2D4F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2099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05CA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1F26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E7170"/>
    <w:rsid w:val="00BF0BC5"/>
    <w:rsid w:val="00BF72F5"/>
    <w:rsid w:val="00BF7EA7"/>
    <w:rsid w:val="00C02D33"/>
    <w:rsid w:val="00C03056"/>
    <w:rsid w:val="00C032CC"/>
    <w:rsid w:val="00C10C26"/>
    <w:rsid w:val="00C12629"/>
    <w:rsid w:val="00C25A23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4C5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4342E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812E1"/>
  <w15:docId w15:val="{3B924CA7-2343-421D-B34D-12C407F6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262CA-3BBB-46AD-B0D7-761C462F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9</cp:revision>
  <cp:lastPrinted>2024-03-19T08:24:00Z</cp:lastPrinted>
  <dcterms:created xsi:type="dcterms:W3CDTF">2024-04-19T09:46:00Z</dcterms:created>
  <dcterms:modified xsi:type="dcterms:W3CDTF">2024-07-04T12:27:00Z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