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56DDD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eastAsia="bs-Latn-BA"/>
        </w:rPr>
        <w:drawing>
          <wp:inline distT="0" distB="0" distL="0" distR="0" wp14:anchorId="4647A004" wp14:editId="44D296F7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C49F6F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652551BE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63BDDFEE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06449B9C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1D77EF0E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12639A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983B9B4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5C096F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1D1ABC90" w14:textId="77777777" w:rsidR="00CB72ED" w:rsidRPr="00B96B4F" w:rsidRDefault="00D070D9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 w:rsidRPr="000172FB">
              <w:rPr>
                <w:rFonts w:asciiTheme="majorHAnsi" w:hAnsiTheme="majorHAnsi" w:cs="Arial"/>
                <w:b/>
                <w:sz w:val="18"/>
                <w:szCs w:val="18"/>
              </w:rPr>
              <w:t>Enzimska kataliza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682A226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6B38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46817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86917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2A692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B45D8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19BF1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F71A12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C9388B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12F0802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305B64C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53F289C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1F474AF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D2F62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DDC90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1A24F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AC1AF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376A2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9461D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14E5B2A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A2D4FC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3759E52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0EB8BFA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609CD27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7B42070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F155AE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B4196DE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60C3A05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E1A8A89" w14:textId="77777777" w:rsidR="00CB72ED" w:rsidRPr="00B96B4F" w:rsidRDefault="00D070D9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C2F90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337B562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E4588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C835C4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67731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5C27A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0EA3B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4E794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E084CA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B36444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6BE57D6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20FDDFA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F718F16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28B38D3" w14:textId="77777777" w:rsidR="00CB72ED" w:rsidRPr="00B96B4F" w:rsidRDefault="00D070D9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9ABAF9B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5C3AC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EB0BA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CE6E2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08479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5402D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A166E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C58760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A7C97D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8DAC8D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EADEED8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2C229409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68B4460D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2F7957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2F7957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66F04F64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595D58A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202DF8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19EC85E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1B094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E366B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8BD33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D7AA4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51079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404A7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D99304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79769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C6904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CA8F8D3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8DE211C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5A87627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5EA5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F077E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D9FD4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7ABFB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BD1AD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5F5E6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100D88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C9732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53C03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12FC946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87FFD94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5DB795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492B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F11F9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F8F15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F47C0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EBBF3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B8B9B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E28B1A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FCAE80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6634442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46206A8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A33B000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BF3DE85" w14:textId="77777777" w:rsidR="00CB72ED" w:rsidRPr="00B96B4F" w:rsidRDefault="00D070D9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AC2F9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45AC6B29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0297CB61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I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20677C0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FA61A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24AC5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98B541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12540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D2797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2FA93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FC20EF8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1D2CAFB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565E6E8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C016733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2C5449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44DE8" w14:textId="77777777" w:rsidR="00CB72ED" w:rsidRPr="00B96B4F" w:rsidRDefault="00D070D9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758DB850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4B8C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59921498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542CE4AF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594DE2C4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43E9A54F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CE0DBE0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96024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855B9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BBA95A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00D0B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F8A9E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4705CD9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5778D88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D7F57" w14:textId="77777777" w:rsidR="00CB72ED" w:rsidRPr="00B96B4F" w:rsidRDefault="00D070D9" w:rsidP="008C0B0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C0B0E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78AD3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06D07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3C380B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E61F2" w14:textId="77777777" w:rsidR="00CB72ED" w:rsidRPr="00B96B4F" w:rsidRDefault="00D070D9" w:rsidP="008C0B0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C0B0E">
              <w:rPr>
                <w:rFonts w:asciiTheme="majorHAnsi" w:hAnsiTheme="majorHAnsi" w:cs="Arial"/>
                <w:b/>
                <w:sz w:val="18"/>
                <w:szCs w:val="18"/>
              </w:rPr>
              <w:t>33.75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42601829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45A6EC2A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2FBEE0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48B18F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5EC99B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776307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2D12B96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D222E3E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B8BB202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9041E" w14:textId="77777777" w:rsidR="00CB72ED" w:rsidRPr="00B96B4F" w:rsidRDefault="00D070D9" w:rsidP="000172F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B5FC3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9D05F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61B8BD3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00A25" w14:textId="2ED1F952" w:rsidR="00CB72ED" w:rsidRPr="00B96B4F" w:rsidRDefault="00D070D9" w:rsidP="00FA66C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A66C5">
              <w:rPr>
                <w:rFonts w:asciiTheme="majorHAnsi" w:hAnsiTheme="majorHAnsi" w:cs="Arial"/>
                <w:b/>
                <w:sz w:val="18"/>
                <w:szCs w:val="18"/>
              </w:rPr>
              <w:t>130,26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7CE609F1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354E3A7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AAE63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1F28F3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10C00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447E51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D04D1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4402B61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01858B7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02930" w14:textId="77777777" w:rsidR="00CB72ED" w:rsidRPr="00B96B4F" w:rsidRDefault="00D070D9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40905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56017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FB42A05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CEF96" w14:textId="4B8826CC" w:rsidR="00CB72ED" w:rsidRPr="00B96B4F" w:rsidRDefault="00D070D9" w:rsidP="00FA66C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A66C5">
              <w:rPr>
                <w:rFonts w:asciiTheme="majorHAnsi" w:hAnsiTheme="majorHAnsi" w:cs="Arial"/>
                <w:b/>
                <w:sz w:val="18"/>
                <w:szCs w:val="18"/>
              </w:rPr>
              <w:t>164,01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4F55A73F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CCCF290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D8285B5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3505348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B97EBE3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E4151AF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6AE787E7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053370C9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3FDFF52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8A1B0" w14:textId="610EC60B" w:rsidR="007B5F51" w:rsidRPr="00B96B4F" w:rsidRDefault="00D070D9" w:rsidP="008C0B0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05675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19FBFEB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27230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332ED9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17A7E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3493B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B7031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A3424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D69FD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62923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7719C5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D165F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342743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4D951EE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C871263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Tehnološki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BA0E5A0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28FB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F5616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4A197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649A5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256A7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1566D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3A71485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962DA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A622EB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A3ECDF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BCB1DAF" w14:textId="7D36AE5C" w:rsidR="00CB72ED" w:rsidRPr="00B96B4F" w:rsidRDefault="00D070D9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Prehrambena tehnologija</w:t>
            </w:r>
            <w:r w:rsidR="00FB1FBB">
              <w:rPr>
                <w:rFonts w:asciiTheme="majorHAnsi" w:hAnsiTheme="majorHAnsi" w:cs="Arial"/>
                <w:b/>
                <w:sz w:val="18"/>
                <w:szCs w:val="18"/>
              </w:rPr>
              <w:t>/usmjerenje</w:t>
            </w:r>
            <w:r w:rsidR="00FA2EFA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FA2EFA" w:rsidRPr="00FA2EFA">
              <w:rPr>
                <w:rFonts w:asciiTheme="majorHAnsi" w:hAnsiTheme="majorHAnsi" w:cs="Arial"/>
                <w:b/>
                <w:sz w:val="18"/>
                <w:szCs w:val="18"/>
              </w:rPr>
              <w:t>Nutricionizam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1D1366B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6F6A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B5D07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B022F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ECBE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E475C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2AC94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1ED4186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21AB3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0B16E9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27FB836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55F77CE8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Dr.sc. Amra Bratovcic, red. prof.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9EBB07D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CAA0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080C5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72BAC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17ED4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9A65A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DBF2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698DBB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DEABE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675F73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2CDF25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317E7B" w14:textId="77777777" w:rsidR="00CB72ED" w:rsidRPr="00B96B4F" w:rsidRDefault="00D070D9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 w:rsidRPr="000172FB">
              <w:rPr>
                <w:rFonts w:asciiTheme="majorHAnsi" w:hAnsiTheme="majorHAnsi" w:cs="Arial"/>
                <w:b/>
                <w:sz w:val="18"/>
                <w:szCs w:val="18"/>
              </w:rPr>
              <w:t>Cilj modula je da objasni kinetiku i mehanizam enzimima kataliziranih hemijskih reakcija, kao i da se stekne znanje o nekim aspektima primjene enzima u biotehnologiji, farmaceutskoj i prehrambenoj industriji.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A6AD10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D72C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6E566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9A034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1FF0A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04779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103D0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51F3CF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E0C2A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97FF0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D94DC5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A724A30" w14:textId="77777777" w:rsidR="00CB72ED" w:rsidRPr="00B96B4F" w:rsidRDefault="00D070D9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 w:rsidRPr="000172FB">
              <w:rPr>
                <w:rFonts w:asciiTheme="majorHAnsi" w:hAnsiTheme="majorHAnsi" w:cs="Arial"/>
                <w:b/>
                <w:sz w:val="18"/>
                <w:szCs w:val="18"/>
              </w:rPr>
              <w:t>Student je osposobljen da razumije procese enzimske katalize, njihovu kinetiku i mehanizam.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1A28503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D5EB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3BFC9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F9B88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CC375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17C72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E4615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9EFEEE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D5B68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BC75AB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9388EB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C03C2" w14:textId="77777777" w:rsidR="000172FB" w:rsidRPr="000172FB" w:rsidRDefault="00D070D9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 w:rsidRPr="000172FB">
              <w:rPr>
                <w:rFonts w:asciiTheme="majorHAnsi" w:hAnsiTheme="majorHAnsi" w:cs="Arial"/>
                <w:b/>
                <w:sz w:val="18"/>
                <w:szCs w:val="18"/>
              </w:rPr>
              <w:t>Uvod u enzimsku katalizu</w:t>
            </w:r>
          </w:p>
          <w:p w14:paraId="1618F109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Biokatalizatori, struktura, funkcija i katalitičke osobine</w:t>
            </w:r>
          </w:p>
          <w:p w14:paraId="55E3ABA7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Jednostavne enzimima katalizirane reakcije </w:t>
            </w:r>
          </w:p>
          <w:p w14:paraId="1A3D0727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Kinetika Michaelis-Menten-ovog mehanizma</w:t>
            </w:r>
          </w:p>
          <w:p w14:paraId="324822B5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Inhibicija enzimske aktivnosti</w:t>
            </w:r>
          </w:p>
          <w:p w14:paraId="146854CB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Uticaj pH na enzimsku aktivnost</w:t>
            </w:r>
          </w:p>
          <w:p w14:paraId="0189BDD3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Uticaj temperature na enzimsku aktivnost</w:t>
            </w:r>
          </w:p>
          <w:p w14:paraId="1C440578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Multi-supstratni enzimski sistemi</w:t>
            </w:r>
          </w:p>
          <w:p w14:paraId="7892A0D0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Regulacija enzimske aktivnosti</w:t>
            </w:r>
          </w:p>
          <w:p w14:paraId="2C303733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Kinetika regulatornih enzima</w:t>
            </w:r>
          </w:p>
          <w:p w14:paraId="50C2637D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Kuplovani enzimski sistemi</w:t>
            </w:r>
          </w:p>
          <w:p w14:paraId="4C6F8295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Praktična enzimska mjerenja i kinetika</w:t>
            </w:r>
          </w:p>
          <w:p w14:paraId="6CF1759A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Primjena enzima u industriji</w:t>
            </w:r>
          </w:p>
          <w:p w14:paraId="06398F3B" w14:textId="77777777" w:rsidR="00CB72ED" w:rsidRPr="00B96B4F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Izotopi u enzimologiji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DA4B74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C708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39815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C76E6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8784B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9F82C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0D9C6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298FBC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189EA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28C11F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2F75D5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FFE819" w14:textId="77777777" w:rsidR="00863C3D" w:rsidRDefault="00D070D9" w:rsidP="00863C3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63C3D">
              <w:rPr>
                <w:rFonts w:asciiTheme="majorHAnsi" w:hAnsiTheme="majorHAnsi" w:cs="Arial"/>
                <w:b/>
                <w:sz w:val="18"/>
                <w:szCs w:val="18"/>
              </w:rPr>
              <w:t>predavanje</w:t>
            </w:r>
          </w:p>
          <w:p w14:paraId="5177C2A6" w14:textId="77777777" w:rsidR="001509B8" w:rsidRDefault="00863C3D" w:rsidP="001509B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konsultacije</w:t>
            </w:r>
          </w:p>
          <w:p w14:paraId="7A7343A7" w14:textId="77777777" w:rsidR="00CB72ED" w:rsidRPr="00B96B4F" w:rsidRDefault="00863C3D" w:rsidP="001509B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seminarski rad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744F73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C4E6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ACEFE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20F17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806C7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713CC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D8A21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534094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CDAD1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C75FB3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9BAE3D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54085C" w14:textId="77777777" w:rsidR="006064AF" w:rsidRPr="006064AF" w:rsidRDefault="00D070D9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064AF" w:rsidRPr="006064AF">
              <w:rPr>
                <w:rFonts w:asciiTheme="majorHAnsi" w:hAnsiTheme="majorHAnsi" w:cs="Arial"/>
                <w:b/>
                <w:sz w:val="18"/>
                <w:szCs w:val="18"/>
              </w:rPr>
              <w:t xml:space="preserve">Student/ica obavezno u toku trajanja predavanja pristupa polaganju  parcijalnog i završnog ispita. </w:t>
            </w:r>
          </w:p>
          <w:p w14:paraId="2AD19407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Svaki student ima svoj seminarski rad.</w:t>
            </w:r>
          </w:p>
          <w:p w14:paraId="4528ABE1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 xml:space="preserve"> Konačna ocjena zasnovana je na ukupnom broju bodova stečenih kroz predispitne obaveze i polaganje završnog ispita, a prema kvalitetu stečenih znanja i vještina. Sadrži maksimalno 100 bodova, prema slijedećoj skali:</w:t>
            </w:r>
          </w:p>
          <w:p w14:paraId="4456C0B0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1. Prisutnost na predavanjima: 5 bodova</w:t>
            </w:r>
          </w:p>
          <w:p w14:paraId="4F2AF3A2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2. I parcijalni test: 30 bodova (minimalan broj bodova za prolaz 15)</w:t>
            </w:r>
          </w:p>
          <w:p w14:paraId="3DD16392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3. Završni ispit: 45 bodova (minimalan broj bodova za prolaz 23)</w:t>
            </w:r>
          </w:p>
          <w:p w14:paraId="24E5AA16" w14:textId="77777777" w:rsidR="00CB72ED" w:rsidRPr="00B96B4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4. Seminarski rad: 20 bodova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1111FF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C44E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313E7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DB490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305B0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C3F27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DCDF3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03222E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03B61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E6DAA7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330EC68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A38E187" w14:textId="7227151F" w:rsidR="00CB72ED" w:rsidRPr="00B96B4F" w:rsidRDefault="00D070D9" w:rsidP="006761A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761AC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6761AC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6761AC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6761AC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6761AC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EABF42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EA45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48C16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D5AA9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A15FE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8E356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47DF1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05366A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C1376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0776B1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CA569FE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A96220F" w14:textId="77777777" w:rsidR="00CB72ED" w:rsidRPr="00B96B4F" w:rsidRDefault="00D070D9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 w:rsidRPr="000172FB">
              <w:rPr>
                <w:rFonts w:asciiTheme="majorHAnsi" w:hAnsiTheme="majorHAnsi" w:cs="Arial"/>
                <w:b/>
                <w:sz w:val="18"/>
                <w:szCs w:val="18"/>
              </w:rPr>
              <w:t>1. Interna skripta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978E6F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E03F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5F469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C8732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9B196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CD4AA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5A016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295B3D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41CAA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D084D9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AD9BFF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420D6B4" w14:textId="77777777" w:rsidR="00CB72ED" w:rsidRPr="00B96B4F" w:rsidRDefault="00D070D9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 w:rsidRPr="000172FB">
              <w:rPr>
                <w:rFonts w:asciiTheme="majorHAnsi" w:hAnsiTheme="majorHAnsi" w:cs="Arial"/>
                <w:b/>
                <w:sz w:val="18"/>
                <w:szCs w:val="18"/>
              </w:rPr>
              <w:t>2. Punekar, N.S. ENZYMES: Catalysis, Kinetics and Mechanisms, Springer Nature Singapore Pte Ltd. 2018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0A63B2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A705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88A1E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5CE12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DA1A3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CF97D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A4C6A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3E6F73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38371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BA7154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C073D2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A5DC74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BE1B95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C315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3190E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35A78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0D1EF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0D2AB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D12F8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121384F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D8F533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7E78F37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AF79239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279EFF6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C0B0E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56DBD4F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6B182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32ED1F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4DEC8F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749BA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328B59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270427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B827E71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E047A4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4CD3FC4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8B792B0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5839B3E7" w14:textId="7960558A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70366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B70366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70366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70366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70366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</w:t>
            </w:r>
            <w:r w:rsidR="00B70366" w:rsidRPr="00B70366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B70366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</w:t>
            </w:r>
            <w:r w:rsidR="00FB48B6" w:rsidRPr="00B70366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B70366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1905F63D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58347BF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4864541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4BFB9B6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E85811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32B6B59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2662027B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14C43590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52664" w14:textId="77777777" w:rsidR="002F7957" w:rsidRDefault="002F7957">
      <w:pPr>
        <w:spacing w:line="240" w:lineRule="auto"/>
      </w:pPr>
      <w:r>
        <w:separator/>
      </w:r>
    </w:p>
  </w:endnote>
  <w:endnote w:type="continuationSeparator" w:id="0">
    <w:p w14:paraId="7486865E" w14:textId="77777777" w:rsidR="002F7957" w:rsidRDefault="002F79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 w14:paraId="0648CE73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43D4248F" w14:textId="4B259968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405675">
            <w:rPr>
              <w:rFonts w:ascii="Cambria" w:hAnsi="Cambria" w:cs="Calibri"/>
              <w:noProof/>
              <w:sz w:val="16"/>
              <w:szCs w:val="16"/>
            </w:rPr>
            <w:t>2.7.2024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3C8B53C5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481993E4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184B7E2D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233450DA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290E8022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2C565006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FA66C5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FA66C5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3224C435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0A0FE" w14:textId="77777777" w:rsidR="002F7957" w:rsidRDefault="002F7957">
      <w:pPr>
        <w:spacing w:after="0"/>
      </w:pPr>
      <w:r>
        <w:separator/>
      </w:r>
    </w:p>
  </w:footnote>
  <w:footnote w:type="continuationSeparator" w:id="0">
    <w:p w14:paraId="3B2FC1DD" w14:textId="77777777" w:rsidR="002F7957" w:rsidRDefault="002F79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DFA5E" w14:textId="77777777" w:rsidR="00CB72ED" w:rsidRDefault="00CB72ED">
    <w:pPr>
      <w:pStyle w:val="Header"/>
    </w:pPr>
  </w:p>
  <w:p w14:paraId="7DEA9AF2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AA"/>
    <w:rsid w:val="00005DA8"/>
    <w:rsid w:val="00007AA6"/>
    <w:rsid w:val="000101DD"/>
    <w:rsid w:val="00013665"/>
    <w:rsid w:val="000172FB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36762"/>
    <w:rsid w:val="00042D32"/>
    <w:rsid w:val="00045FD8"/>
    <w:rsid w:val="000460C2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A6B99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2B54"/>
    <w:rsid w:val="0014427D"/>
    <w:rsid w:val="00144785"/>
    <w:rsid w:val="001448D6"/>
    <w:rsid w:val="001509B8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021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2F7957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E4F19"/>
    <w:rsid w:val="003F0F4F"/>
    <w:rsid w:val="003F6011"/>
    <w:rsid w:val="004002AE"/>
    <w:rsid w:val="00400B07"/>
    <w:rsid w:val="004019DF"/>
    <w:rsid w:val="00405675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4548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55AE8"/>
    <w:rsid w:val="0056251F"/>
    <w:rsid w:val="00563F32"/>
    <w:rsid w:val="005671EA"/>
    <w:rsid w:val="00573797"/>
    <w:rsid w:val="00573E44"/>
    <w:rsid w:val="00573FB4"/>
    <w:rsid w:val="0057415D"/>
    <w:rsid w:val="00580F7F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3833"/>
    <w:rsid w:val="005D6DDF"/>
    <w:rsid w:val="005E141C"/>
    <w:rsid w:val="005E1CC7"/>
    <w:rsid w:val="005F486C"/>
    <w:rsid w:val="006064AF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1AC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3C3D"/>
    <w:rsid w:val="00865D6E"/>
    <w:rsid w:val="00870B9A"/>
    <w:rsid w:val="00873268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A4000"/>
    <w:rsid w:val="008B1315"/>
    <w:rsid w:val="008B1553"/>
    <w:rsid w:val="008B1CC2"/>
    <w:rsid w:val="008B2B7B"/>
    <w:rsid w:val="008B600C"/>
    <w:rsid w:val="008C0B0E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2F90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43F"/>
    <w:rsid w:val="00B22657"/>
    <w:rsid w:val="00B26874"/>
    <w:rsid w:val="00B341AA"/>
    <w:rsid w:val="00B37D1D"/>
    <w:rsid w:val="00B541C6"/>
    <w:rsid w:val="00B64E28"/>
    <w:rsid w:val="00B677A0"/>
    <w:rsid w:val="00B70366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230A"/>
    <w:rsid w:val="00BF72F5"/>
    <w:rsid w:val="00BF7EA7"/>
    <w:rsid w:val="00C02D33"/>
    <w:rsid w:val="00C03056"/>
    <w:rsid w:val="00C032CC"/>
    <w:rsid w:val="00C10C26"/>
    <w:rsid w:val="00C12629"/>
    <w:rsid w:val="00C14E3C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B79B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3A57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8E0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0B3A"/>
    <w:rsid w:val="00F942B9"/>
    <w:rsid w:val="00F94D9F"/>
    <w:rsid w:val="00FA0538"/>
    <w:rsid w:val="00FA0582"/>
    <w:rsid w:val="00FA0ADB"/>
    <w:rsid w:val="00FA17DD"/>
    <w:rsid w:val="00FA2EFA"/>
    <w:rsid w:val="00FA66C5"/>
    <w:rsid w:val="00FB1FBB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AB899"/>
  <w15:docId w15:val="{275B7A8B-2CDE-40A3-BB80-74115D08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8421-1A01-4E67-8475-EEC794EA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5</cp:revision>
  <cp:lastPrinted>2024-03-19T08:24:00Z</cp:lastPrinted>
  <dcterms:created xsi:type="dcterms:W3CDTF">2024-07-02T10:23:00Z</dcterms:created>
  <dcterms:modified xsi:type="dcterms:W3CDTF">2024-07-02T10:25:00Z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