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BF13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05AC2338" wp14:editId="37CFCB13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681D8A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7A41DE51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BFAC98E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F131770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2BD03AE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770F22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48C7779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18EF0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E711AAA" w14:textId="77777777" w:rsidR="00CB72ED" w:rsidRPr="00B96B4F" w:rsidRDefault="00D070D9" w:rsidP="00012D5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2D50">
              <w:rPr>
                <w:rFonts w:asciiTheme="majorHAnsi" w:hAnsiTheme="majorHAnsi" w:cs="Arial"/>
                <w:b/>
                <w:sz w:val="18"/>
                <w:szCs w:val="18"/>
              </w:rPr>
              <w:t>Esencijalni sastojci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8E1DE8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96E8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76B64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FCDF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1F6A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4EA6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56403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9AD90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C22AF6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9B0758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FF17C0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8582F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B4F2A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D3EF3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31210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16E6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49DA5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EE570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30CAF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8F24D2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0CEAD6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3DEA74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FC503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43271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3E3D96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BBA56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7A0BF4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C843E4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559676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CDDDD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32956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3E366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5D9B3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BC17F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93D62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E64A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90308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FC58A1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84FFC5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A50E3F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A1A6B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85C360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24C8D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6204E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073F0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ADFB7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38A9E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7E285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82499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DF3A4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138ABA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61EFD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BB7EBF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FFE1E83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37CAE1F3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A08B0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A08B0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7D4AF74C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2E563D4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53386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1DE2E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7FA19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0A707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2D04C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C20F0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6C7BA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75CAB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5B3C4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95E66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B498E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42573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12324A9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071F5C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17A6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E5E42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3B2D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4133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6CFD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63814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520DF4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EF6DE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58D64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ACF5E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2146FB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73F796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61AB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806DE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81C2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0466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6DD81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AC8DF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664F6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920E61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E26F3D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D17C32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00443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4467F45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F8D733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08A46F9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27D87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6967D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6642B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BD2E5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4B206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CBB70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DCF98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28AD5B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3A7E49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2AFA01E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D3ED9C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78F5A5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88C29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69E340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E150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EBA9C3D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0808CE6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4E394E5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38EC6B8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24F3A0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47246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EFD32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296B0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9F328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0599D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F1A3B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0E5CA5F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17E6B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ABBB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3FEA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5E45C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7EB10" w14:textId="77777777" w:rsidR="00CB72ED" w:rsidRPr="00B96B4F" w:rsidRDefault="00D070D9" w:rsidP="0090209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2099" w:rsidRPr="00902099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2402803F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7623B58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52F889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3C21A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8881A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880A9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AE591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63097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EFEC09D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004B3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3133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835D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75713D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FD2B4" w14:textId="77777777" w:rsidR="00CB72ED" w:rsidRPr="00B96B4F" w:rsidRDefault="00D070D9" w:rsidP="0090209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2099" w:rsidRPr="00902099">
              <w:rPr>
                <w:rFonts w:asciiTheme="majorHAnsi" w:hAnsiTheme="majorHAnsi"/>
                <w:b/>
                <w:sz w:val="18"/>
                <w:szCs w:val="18"/>
              </w:rPr>
              <w:t>142,83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86C800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A6E543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5A2DC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3E130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103CF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A3A59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B81AA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E3479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579301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6B322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82CB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52D5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96A100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645DF" w14:textId="77777777" w:rsidR="00CB72ED" w:rsidRPr="00B96B4F" w:rsidRDefault="00D070D9" w:rsidP="008A2D4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A2D4F" w:rsidRPr="008A2D4F">
              <w:rPr>
                <w:rFonts w:asciiTheme="majorHAnsi" w:hAnsiTheme="majorHAnsi" w:cs="Arial"/>
                <w:b/>
                <w:sz w:val="18"/>
                <w:szCs w:val="18"/>
              </w:rPr>
              <w:t>176,58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737226E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3F3671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C184FD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BBAB25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458439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924DF9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6A2ED3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177B8E8F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D4B24E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4EDDE" w14:textId="77777777" w:rsidR="007B5F51" w:rsidRPr="00B96B4F" w:rsidRDefault="00D070D9" w:rsidP="00382F2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2F2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B6400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33956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6021C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A18B0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02DAE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9355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634A5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CAAFA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6475A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3A491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FD898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926B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9EB79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813688D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1614B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F642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C593B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3F9B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4C47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5B2E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300A7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CE0A9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2471C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2E21A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593742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57A080B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 w:rsidRPr="000206E3">
              <w:rPr>
                <w:rFonts w:asciiTheme="majorHAnsi" w:hAnsiTheme="majorHAnsi" w:cs="Arial"/>
                <w:b/>
                <w:sz w:val="18"/>
                <w:szCs w:val="18"/>
              </w:rPr>
              <w:t xml:space="preserve">  Prehrambena tehnologija/usmjerenje</w:t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 xml:space="preserve"> Nutricionizam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31D835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DAB9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5FFE7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572D4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3D26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0B1A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F0F25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9E08C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44D8D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40162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F0FC7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CC32F0E" w14:textId="77777777" w:rsidR="00CB72ED" w:rsidRPr="00B96B4F" w:rsidRDefault="00D070D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D00F9">
              <w:rPr>
                <w:rFonts w:asciiTheme="majorHAnsi" w:hAnsiTheme="majorHAnsi" w:cs="Arial"/>
                <w:b/>
                <w:sz w:val="18"/>
                <w:szCs w:val="18"/>
              </w:rPr>
              <w:t>dr.sci. Tijana Brčina, vanr.prof.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EB50F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12F7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09D0E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4B07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727F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C9F4E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A46C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BD417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8D0AA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DFD3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84F29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84B35D" w14:textId="77777777" w:rsidR="003D00F9" w:rsidRPr="003D00F9" w:rsidRDefault="00D070D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D00F9" w:rsidRPr="003D00F9">
              <w:rPr>
                <w:rFonts w:asciiTheme="majorHAnsi" w:hAnsiTheme="majorHAnsi" w:cs="Arial"/>
                <w:b/>
                <w:sz w:val="18"/>
                <w:szCs w:val="18"/>
              </w:rPr>
              <w:t>Studenti u toku kursa st</w:t>
            </w:r>
            <w:r w:rsid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ječu </w:t>
            </w:r>
            <w:r w:rsidR="003D00F9" w:rsidRPr="003D00F9">
              <w:rPr>
                <w:rFonts w:asciiTheme="majorHAnsi" w:hAnsiTheme="majorHAnsi" w:cs="Arial"/>
                <w:b/>
                <w:sz w:val="18"/>
                <w:szCs w:val="18"/>
              </w:rPr>
              <w:t xml:space="preserve"> znanja o značaju esencijalnih sastojaka hrane i njihove uloge u prehrani zdravih i</w:t>
            </w:r>
          </w:p>
          <w:p w14:paraId="00E1E7C8" w14:textId="77777777" w:rsidR="003D00F9" w:rsidRPr="003D00F9" w:rsidRDefault="003D00F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bolesnih osoba. Specifični ciljevi su:</w:t>
            </w:r>
          </w:p>
          <w:p w14:paraId="758593D5" w14:textId="77777777" w:rsidR="003D00F9" w:rsidRPr="003D00F9" w:rsidRDefault="003D00F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1.Izgradnja stručnog pristupa u rješavanju problema unosa esencijalnih sastojaka hrane i njihovog utjecaja na</w:t>
            </w:r>
          </w:p>
          <w:p w14:paraId="20854AB8" w14:textId="77777777" w:rsidR="003D00F9" w:rsidRPr="003D00F9" w:rsidRDefault="003D00F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zdravlje</w:t>
            </w:r>
          </w:p>
          <w:p w14:paraId="349028EC" w14:textId="77777777" w:rsidR="003D00F9" w:rsidRPr="003D00F9" w:rsidRDefault="003D00F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2.Razvoj spoznaje o esencijalnim sastojcima hrane multidisciplinarno naslonjenoj na stečena znanja iz: nauke o</w:t>
            </w:r>
          </w:p>
          <w:p w14:paraId="197EA26E" w14:textId="77777777" w:rsidR="003D00F9" w:rsidRPr="003D00F9" w:rsidRDefault="003D00F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hrani, bih</w:t>
            </w:r>
            <w:r w:rsidR="00C25A23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miji hrane, aktivnih kompon</w:t>
            </w:r>
            <w:r w:rsidR="00C25A23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nti hrane.</w:t>
            </w:r>
          </w:p>
          <w:p w14:paraId="2A2A0E62" w14:textId="77777777" w:rsidR="003D00F9" w:rsidRPr="003D00F9" w:rsidRDefault="003D00F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3.Razvoj spos</w:t>
            </w:r>
            <w:r w:rsidR="00C25A23">
              <w:rPr>
                <w:rFonts w:asciiTheme="majorHAnsi" w:hAnsiTheme="majorHAnsi" w:cs="Arial"/>
                <w:b/>
                <w:sz w:val="18"/>
                <w:szCs w:val="18"/>
              </w:rPr>
              <w:t>obnosti</w:t>
            </w: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 xml:space="preserve"> korištenja terminologije komuniciranja i prezentiranja u oblasti poznavanja esencijalnih</w:t>
            </w:r>
          </w:p>
          <w:p w14:paraId="2A7696D3" w14:textId="77777777" w:rsidR="00CB72ED" w:rsidRPr="00B96B4F" w:rsidRDefault="003D00F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00F9">
              <w:rPr>
                <w:rFonts w:asciiTheme="majorHAnsi" w:hAnsiTheme="majorHAnsi" w:cs="Arial"/>
                <w:b/>
                <w:sz w:val="18"/>
                <w:szCs w:val="18"/>
              </w:rPr>
              <w:t>sastojak hrane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4BA27B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5B98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E999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9B231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4227E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A5718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5472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87EA3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36C2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A9F77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ED49A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306910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Znanja potrebna o esencijalnim sastojcima hrane i njihovom uticaju na zdravlje te znanja o proizvodnji nutritivno</w:t>
            </w:r>
          </w:p>
          <w:p w14:paraId="4A3B700A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vrijednih namirnica i proizvoda sa dodanim vrijednostima.</w:t>
            </w:r>
          </w:p>
          <w:p w14:paraId="654618AE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Po završetku kursa student stiče osnovne kvalifikacije neophodne prepoznavanje nutritivnog kvaliteta namirnica sa</w:t>
            </w:r>
          </w:p>
          <w:p w14:paraId="4D2DBE60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aspekta prisustva esencijalnih nutrijenata.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CC429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308C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17C81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7F83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F40E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D5C6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2A1D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FF356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23FEC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F26A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6DF70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BC90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Uvod u predmet. Sastojci hrane. Nutritivni i nenutritivni sastojci hrane. Makro i mikronutrijenti. Esencijalni,</w:t>
            </w:r>
          </w:p>
          <w:p w14:paraId="3F9BC6F7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neesencijalni i 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mies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cijalni nutrijenti kao sastojci hrane. Esencijalni sastojci hrane: esencijalne amino i masne kiseline,</w:t>
            </w:r>
          </w:p>
          <w:p w14:paraId="562CC5B9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vitamini i minerali.</w:t>
            </w:r>
          </w:p>
          <w:p w14:paraId="0EAA3BCD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Uloga esencijalnih nutrijenata: uloge u metabolizmu, koenzimi, kofaktori, protektivno zaštitna uloga.</w:t>
            </w:r>
          </w:p>
          <w:p w14:paraId="33C4E909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Izvori esencijalnih nutrijenata u hrani. Proteinske komponente hrane: meso, mlijeko jaja i prerađevine. Žitarice,</w:t>
            </w:r>
          </w:p>
          <w:p w14:paraId="242CD5A3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voće, povrće, uljarice i prerađevine.</w:t>
            </w:r>
          </w:p>
          <w:p w14:paraId="670CA01C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Posljedice nedostatka esencijalnih nutrijenata u prehrani. Malnutricije. Utjecaj na odbrambeni sistem.</w:t>
            </w:r>
          </w:p>
          <w:p w14:paraId="6A674077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Neesencijalni protektivni sastojci hrane. Biološki aktivne komponente u hrani: klorofili, karotenoidi, polifenoli,</w:t>
            </w:r>
          </w:p>
          <w:p w14:paraId="1620FD75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flavonoidi,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omega masne kiseline. Antinutrijenti u hrani. Fortifikacija hrane esencijalnim sastojcima.</w:t>
            </w:r>
          </w:p>
          <w:p w14:paraId="0AA83E62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Prehram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beni</w:t>
            </w: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proizvodi sa dodanim vrijednostima.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451BB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A1D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54941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658AE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331E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2C09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66A7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248B2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46306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BB93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B275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FC5440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033914B6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Izrada i prezentacija seminarskog rada</w:t>
            </w:r>
          </w:p>
          <w:p w14:paraId="3FDC4E87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Terenska nastava/posjete</w:t>
            </w:r>
            <w:r w:rsidR="00507F98">
              <w:rPr>
                <w:rFonts w:asciiTheme="majorHAnsi" w:hAnsiTheme="majorHAnsi" w:cs="Arial"/>
                <w:b/>
                <w:sz w:val="18"/>
                <w:szCs w:val="18"/>
              </w:rPr>
              <w:t>, radionice</w:t>
            </w:r>
          </w:p>
          <w:p w14:paraId="01BD64AB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Samostalno učenje</w:t>
            </w:r>
          </w:p>
          <w:p w14:paraId="59CBB382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- Konzultacije kod predmetnog nastavnika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BB4AFD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59F4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0A52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0051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469F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F71A5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DC9E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D334A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CA21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74CC6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EDF72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9800AD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vršit će se putem testa 1, izrade i prezentacije seminarskog rada nakon prve polovine semestra i testa 2 na kraju semestra. Testovi 1 i 2 se sastoji od po 5 pitanja, a svako pitanje nosi  6 bodova. Oba testa polažu svi studenti na predmetu istovremeno, čime je postignuta ujednačenost nivoa znanja koje se testira, kao i uvjeti pod kojima student polaže ispit. </w:t>
            </w:r>
          </w:p>
          <w:p w14:paraId="685EB90C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A6ED9E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2F34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60F98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4C37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EF94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732D3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E1D9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5C4B0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AA7A1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1A91E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877DE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B7D610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7C9C0165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Obaveze studenata                                 Bodovi (min.-max)</w:t>
            </w:r>
          </w:p>
          <w:p w14:paraId="07EE7AE1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Prisustvo i aktivnost na predavanjima   (4-10)</w:t>
            </w:r>
          </w:p>
          <w:p w14:paraId="62ECAE87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Seminarski rad - izrada i prezentacija    (20-30)</w:t>
            </w:r>
          </w:p>
          <w:p w14:paraId="2CF05200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Test 1   (15-30)</w:t>
            </w:r>
          </w:p>
          <w:p w14:paraId="1A86A57D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- Test 2   (15-30)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E43B4D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F705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1924B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5E14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4506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22EF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42DD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DA4C2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7EC01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9B9CC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9F63D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A7F6B8" w14:textId="77777777" w:rsidR="00902099" w:rsidRDefault="00D070D9" w:rsidP="002B3F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2099">
              <w:rPr>
                <w:rFonts w:asciiTheme="majorHAnsi" w:hAnsiTheme="majorHAnsi" w:cs="Arial"/>
                <w:b/>
                <w:sz w:val="18"/>
                <w:szCs w:val="18"/>
              </w:rPr>
              <w:t>Grujić, R., Miletić, I. (2006): Nauka o ishrani čovjeka, Univerzitet u Banaj Luci.</w:t>
            </w:r>
          </w:p>
          <w:p w14:paraId="42B0AB10" w14:textId="77777777" w:rsidR="00CB72ED" w:rsidRPr="00B96B4F" w:rsidRDefault="00C25A23" w:rsidP="002B3F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Insel</w:t>
            </w:r>
            <w:r w:rsidR="002B3F08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P., </w:t>
            </w:r>
            <w:r w:rsidR="002B3F08">
              <w:rPr>
                <w:rFonts w:asciiTheme="majorHAnsi" w:hAnsiTheme="majorHAnsi" w:cs="Arial"/>
                <w:b/>
                <w:sz w:val="18"/>
                <w:szCs w:val="18"/>
              </w:rPr>
              <w:t>Turner, R.E., Ross, D. (2006):Discovering Nutrition, Second Edition, S</w:t>
            </w:r>
            <w:r w:rsidR="002B3F08" w:rsidRPr="002B3F08">
              <w:rPr>
                <w:rFonts w:asciiTheme="majorHAnsi" w:hAnsiTheme="majorHAnsi" w:cs="Arial"/>
                <w:b/>
                <w:sz w:val="18"/>
                <w:szCs w:val="18"/>
              </w:rPr>
              <w:t>udbury, Massachusetts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F215C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C555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46AB3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C732A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3FD2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7B42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A5C1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D89FC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3B238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CDD10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7BCE02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75A161" w14:textId="77777777" w:rsidR="00CB72ED" w:rsidRPr="00B96B4F" w:rsidRDefault="00D070D9" w:rsidP="005443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44345" w:rsidRPr="00544345">
              <w:rPr>
                <w:rFonts w:asciiTheme="majorHAnsi" w:hAnsiTheme="majorHAnsi" w:cs="Arial"/>
                <w:b/>
                <w:sz w:val="18"/>
                <w:szCs w:val="18"/>
              </w:rPr>
              <w:t xml:space="preserve">Kukric, Z.,  Jašić, M. (2013): Biološki aktivne komponente hrane. Univerziteti Tuzla-Banja Luka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F0CF2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F010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BC1AA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FB58C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D022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C73A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1454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B684B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486A7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28C9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46A274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0E3DE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3C1F49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70BC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AE98F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43C3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B5B2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49B8F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ECF6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31EA4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2D044F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AF21C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6DEFD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F6C19A" w14:textId="77777777" w:rsidR="00CB72ED" w:rsidRPr="00B96B4F" w:rsidRDefault="00D070D9" w:rsidP="002B3F0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B3F08" w:rsidRPr="002B3F08">
              <w:rPr>
                <w:rFonts w:asciiTheme="majorHAnsi" w:hAnsiTheme="majorHAnsi" w:cs="Arial"/>
                <w:b/>
                <w:sz w:val="18"/>
                <w:szCs w:val="18"/>
              </w:rPr>
              <w:t xml:space="preserve"> 2024/25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60C1F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B95C1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B2381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C1AB0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6F5FE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63DE0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EE07E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3504FE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FD40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DA125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B5B4AE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F0D48FC" w14:textId="59E0856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A671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A671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A671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A671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A671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BA6714" w:rsidRPr="00BA671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A671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BA671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A671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4229489E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4E1357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ECD60F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80E917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1EF6E0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95DD12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F2E66C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4D39FF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9737" w14:textId="77777777" w:rsidR="006A08B0" w:rsidRDefault="006A08B0">
      <w:pPr>
        <w:spacing w:line="240" w:lineRule="auto"/>
      </w:pPr>
      <w:r>
        <w:separator/>
      </w:r>
    </w:p>
  </w:endnote>
  <w:endnote w:type="continuationSeparator" w:id="0">
    <w:p w14:paraId="76873F87" w14:textId="77777777" w:rsidR="006A08B0" w:rsidRDefault="006A0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7B8850ED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B4FFF93" w14:textId="77777777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A6714">
            <w:rPr>
              <w:rFonts w:ascii="Cambria" w:hAnsi="Cambria" w:cs="Calibri"/>
              <w:noProof/>
              <w:sz w:val="16"/>
              <w:szCs w:val="16"/>
            </w:rPr>
            <w:t>4.6.2024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70CA29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AC63BD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1F1AD4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F9122E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DF5EFC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5EFBC38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07F98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07F98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7959A38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95F4" w14:textId="77777777" w:rsidR="006A08B0" w:rsidRDefault="006A08B0">
      <w:pPr>
        <w:spacing w:after="0"/>
      </w:pPr>
      <w:r>
        <w:separator/>
      </w:r>
    </w:p>
  </w:footnote>
  <w:footnote w:type="continuationSeparator" w:id="0">
    <w:p w14:paraId="620B89C3" w14:textId="77777777" w:rsidR="006A08B0" w:rsidRDefault="006A0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BED5" w14:textId="77777777" w:rsidR="00CB72ED" w:rsidRDefault="00CB72ED">
    <w:pPr>
      <w:pStyle w:val="Header"/>
    </w:pPr>
  </w:p>
  <w:p w14:paraId="0A09AD40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2D50"/>
    <w:rsid w:val="00013665"/>
    <w:rsid w:val="000206E3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89E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B3F08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2E"/>
    <w:rsid w:val="00382F61"/>
    <w:rsid w:val="003842BC"/>
    <w:rsid w:val="003A053B"/>
    <w:rsid w:val="003A7CC0"/>
    <w:rsid w:val="003B7E2A"/>
    <w:rsid w:val="003C540A"/>
    <w:rsid w:val="003D00F9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07F98"/>
    <w:rsid w:val="00513852"/>
    <w:rsid w:val="00513EFB"/>
    <w:rsid w:val="005173B1"/>
    <w:rsid w:val="00522737"/>
    <w:rsid w:val="005276C6"/>
    <w:rsid w:val="00532436"/>
    <w:rsid w:val="00541C17"/>
    <w:rsid w:val="00544345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08B0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7FE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D4F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2099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1F26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693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A6714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25A23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87E9F"/>
  <w15:docId w15:val="{C75BFD33-B898-44E1-964D-DA58AC3F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0EC4-C90F-4015-A957-0C196B49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2024-04-19T09:46:00Z</dcterms:created>
  <dcterms:modified xsi:type="dcterms:W3CDTF">2024-06-04T08:55:00Z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