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F207B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CA7F2">
      <w:pPr>
        <w:pStyle w:val="18"/>
        <w:rPr>
          <w:rFonts w:ascii="Arial" w:hAnsi="Arial" w:cs="Arial"/>
          <w:b/>
          <w:sz w:val="14"/>
          <w:szCs w:val="14"/>
        </w:rPr>
      </w:pPr>
    </w:p>
    <w:p w14:paraId="5FAC8EC8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5CCA7954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3FE84EED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0843B2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2771ADB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07D36B76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7AFF4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C50437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P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REBIOTICI I PROBIOTICI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FC5C6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A23E2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AD18F6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AF15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E0331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A5456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6E60E0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6669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F4DFEA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594A2B5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03E35A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CBA46F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B7EBA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6BB0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9B3C6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7BDCE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103F9E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87ADA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C45FD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C24FC4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BAD265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32C15EB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3DE9914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02F7A3D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7C47B3E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D191D6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516CFE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A426F2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DFC07D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8CA7C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0545F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B4E9A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65FA71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00BFD1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35E23D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4C53B6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34B47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EBAE8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180B518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7319C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B3135A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20C6E5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C79F72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6F890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DDC68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66BFB9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26187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4D86B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20B638C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0B67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D3722B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662FD36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68FF3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609A278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0970E846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3A29F684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61482F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C602EAD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618274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0D9C45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3417A4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BBF3C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8F63F9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169BFC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95255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643A2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F22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5468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1AE0C9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9EC7B5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8891D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BF66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E2B841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DD0C6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A637E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677AC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253BE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0C7259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0A838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ABD30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9AD60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8385EA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N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F74E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33491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E2ECC0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AA0304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C65C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4E4A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BC7B1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AEC84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5B53B0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77DD72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4109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F37136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3DCE618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1A58F23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3663321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F4CE7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66DC15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143C6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5A5875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6199E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A36270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325082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D977B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2291A5F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C5159E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4C327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5E4573B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E4278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01D30D7F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9C108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47B2CA70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1B4BD55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1D38BAAE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716C556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BCCB23E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6DE0B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1965E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B1EBE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847D3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C2A99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D6CBB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6DC2F596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EB7B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D12DD2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FD2A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7A8BB22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EAA19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3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3A56B64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7C77A3C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3EFEBB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679B53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FBDB0C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1DF6D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F216AD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9C957D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77D04677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9CDF6F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91716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0A6CC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4F8062E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B6F36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36,85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1C2F263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345B94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8D97B4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E52DFF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3C060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3D187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DA5967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58DDB8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B2CCD8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5E28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AE666E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3065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694131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5A0E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70,60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E7DBE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EB29D07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FA0C69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8EF745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1207D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7AFA5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9DDA63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626D73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87AACFB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FE17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8F4B2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44C5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5618C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954E4F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23190ED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42295C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83D10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923295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1A46785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4EA857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991B0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7A78D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36E9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4AF8C9F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T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63503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5675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07A29D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594E1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BEE1D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B0785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089A7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49888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AC31D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23364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504B8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0828121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bookmarkStart w:id="3" w:name="_GoBack"/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Prehrambena tehnologija/usmjerenje Nutricionizam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14:paraId="19D6B7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DD7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7017EE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44EADE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5E938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D834B4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BD5909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F744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E189A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14535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24010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22E97E0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dr. sci. Milica Vilušić, red. 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8F467C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B68C7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79F27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56D61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D3051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6E7BE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A4EE7F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A0751B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F67B4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A9E2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069A8B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BA31BD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Dati dodatne informacije o prebioticima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i prebioticima,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te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njihovom značaju u proizvodnji hrane i prehrani</w:t>
            </w:r>
          </w:p>
          <w:p w14:paraId="1A469D6B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Stvaranje visokoobrazovanih stručnjaka za rad u prehrambenoj industriji i dr. institucijama, s težištem na prebiotičke i probiotičke dodatke hrani</w:t>
            </w:r>
          </w:p>
          <w:p w14:paraId="24F6ED57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Stjecanje znanja o osnovama i najnovijim stručnim i praktičnim saznanjima iz oblasti funkcionalnih proizvoda, prebiotika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 xml:space="preserve"> i probiotika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koj</w:t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i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 se koriste za njihovu proizvodnju, te njihovim nutritivnim i funkcionalnim svojstvima</w:t>
            </w:r>
          </w:p>
          <w:p w14:paraId="6B2E2FF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Rješavanje problema iz domena primjene prebiotika i probiotika u funkcionalnoj hrani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C9B1CB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4F86A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A59334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F2D4A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5F4DCE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85697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80706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97865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0AFB7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8F13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A3A4C0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B938D7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Procijeniti i odabrati sirovine, BMK i dr. starter kulture, te prebiotike za proizvodnju funkcionalnih proizvoda</w:t>
            </w:r>
          </w:p>
          <w:p w14:paraId="73204D32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Objasniti i voditi faze tehnološkog procesa za pojedine vrste funkcionalnih proizvoda</w:t>
            </w:r>
          </w:p>
          <w:p w14:paraId="71680179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-Razlikovati i ispitati svojstva prebiotika i probiotika</w:t>
            </w:r>
          </w:p>
          <w:p w14:paraId="5304F75B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-Procijeniti sukladnost prebiotika, probiotika i funkcionalnih proizvoda sa zakonskom regulativom</w:t>
            </w:r>
          </w:p>
          <w:p w14:paraId="131CB03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-Riješiti probleme iz domena tematike o funkcionalnim proizvodima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2FC9E1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0DA63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5D4C81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2F1A8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1AE68C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55FDB4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86256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390DD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16C8E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70EB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786563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737B5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Definicija prebiotika i probiotika. Razvoj novih prebiotika i probiotika. Mehanizam djelovanja prebiotika i probiotika. Simbiotički efekat prebiotika i probiotika. Funkcionalne mikrobne kulture. Proizvodnja funkcionalnih metabolita s bakterijama mliječne kiseline i njihov značaj. Funkcionalnost prebiotika i probiotika u proizvodnji fermentirane hrane i značaj u prehrani.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F25A7D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60876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D0F4C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10BB32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262F1D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8C943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6CE85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9A989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C24C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D8893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3F8BBC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066E6F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Predavanja uz upotrebu multimedijalnih sredstava, tehnika aktivnog učenja i rasprava studenata, po potrebi učenje na daljinu</w:t>
            </w:r>
          </w:p>
          <w:p w14:paraId="2D61A9FC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Izrada i prezentacija seminarskog rada</w:t>
            </w:r>
          </w:p>
          <w:p w14:paraId="226E3D77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Terenska nastava/posjete pogona prehrambene industrije</w:t>
            </w:r>
          </w:p>
          <w:p w14:paraId="7D4EDB4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Samostalno učenje</w:t>
            </w:r>
          </w:p>
          <w:p w14:paraId="544FD22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Konzultacije kod predmetnog nastavnika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CD2CB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C6C88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845BB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D346A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B7F7EE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7AE0FD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FC4298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596AA9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E44BC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F000B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207541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393B3A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 xml:space="preserve">Provjera znanja vršit će se putem testa 1, izrade i prezentacije seminarskog rada nakon prve polovine semestra i testa 2 na kraju semestra. Testovi 1 i 2 se sastoji od po 5 pitanja, a svako pitanje nosi 6 bodova. Oba testa polažu svi studenti na predmetu istovremeno, čime je postignuta ujednačenost nivoa znanja koje se testira, kao i uvjeti pod kojima student polaže ispit. </w:t>
            </w:r>
          </w:p>
          <w:p w14:paraId="438968A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Studenti koji nisu položili ispit u akademskoj godini, kada prvi puta slušaju predmet, polažu preostale ispitne obaveze po važećim Aktima Univerziteta u Tuzli.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75A2C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2431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C5D15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82980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D9A5A2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91B3A6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70539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0BA024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0B5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E16EF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325E64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1F9B26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Ocjena na ispitu zasnovana je na ukupnom broju bodova (54-100) koje je student stekao ispunjavanjem obaveza i polaganjem ispita, i utvrđuje se prema slijedećoj skali:</w:t>
            </w:r>
          </w:p>
          <w:p w14:paraId="6990864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Obaveze studenata                                 Bodovi (min.-max)</w:t>
            </w:r>
          </w:p>
          <w:p w14:paraId="7EE9A79E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Prisustvo i aktivnost na predavanjima   (4-10)</w:t>
            </w:r>
          </w:p>
          <w:p w14:paraId="522FD471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Seminarski rad - izrada i prezentacija    (20-30)</w:t>
            </w:r>
          </w:p>
          <w:p w14:paraId="6FAD7240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-Test 1   (15-30)</w:t>
            </w:r>
          </w:p>
          <w:p w14:paraId="74D0DEA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- Test 2   (15-30)  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B112D2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CF38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D321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BDA2A9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431832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84F7C0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F974D0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F3743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83D31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3A448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CD40B8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213CC5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Vilušić, M. (2014): Funkcionalni mliječni proizvodi, Univerzitet u Tuzli, Tuzla.</w:t>
            </w:r>
          </w:p>
          <w:p w14:paraId="2A0A49EC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Hauser, G., Benjak Horvat, I., Zelić, M., Prusac, M., Velkovski Škopić, O. (2020): Probiotici i prebiotici, Medicus 29(1), 95-114.</w:t>
            </w:r>
          </w:p>
          <w:p w14:paraId="33EBD13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Tamime, A. Y., Božanić, R., Rogelj, I. (2003): Probiotički fermentirani mliječni proizvodi, Mljekarstvo 53 (2), 111-134. Živković, R., Hadžiosmanović, M., Oberiter, V. (1996): Fermentirani mliječni proizvodi u prehrani i dijetetici, Hrvatska akademija medicinskih znanosti, Zagreb.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9B4D9E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D542A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53533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82D1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39273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CCA324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6930C7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79BC86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FEBE8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4E42E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AFB9EA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2DC6BC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WGO (2023): Probiotics and prebiotics, World Gastroenterology Organisation Global Guidelines, https://www.worldgastroenterology.org/UserFiles/file/guidelines/probiotics-and-prebiotics-english-2023.pdf </w:t>
            </w:r>
          </w:p>
          <w:p w14:paraId="39AE541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Yildiz, F. (2010): Development and Manufacture of Yogurt and Other Functional Dairy Products, CRC Press, Boca Raton.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17D87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8F09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45D034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F8519F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2A97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428FFC3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75CE0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82120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BCAF02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9E9A1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ADEDD9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D01B3C">
            <w:pPr>
              <w:pStyle w:val="18"/>
              <w:rPr>
                <w:rFonts w:hint="default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http://www.foodinsight.org/Functional_Foods_Fact_Sheet_Probiotics_and_Prebiotics</w:t>
            </w:r>
          </w:p>
          <w:p w14:paraId="7F3BA679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asciiTheme="majorHAnsi" w:hAnsiTheme="majorHAnsi"/>
                <w:b/>
                <w:sz w:val="18"/>
                <w:szCs w:val="18"/>
              </w:rPr>
              <w:t>http://en.wikipedia.org/wiki/Prebiotic_%28nutrition%29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D285E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8A016E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76749FF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C30F9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CC967D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6F2E80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400FB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FE155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8D39A8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732E1F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B788F9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13B99F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  <w:lang w:val="bs-Latn-BA"/>
              </w:rPr>
              <w:t>2</w:t>
            </w: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2D8B7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8EE7C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74FEDA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393BDB6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7763B3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15A9FF8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7108F5A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EA4690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35B48C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61DDCE4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551CE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799A98EB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0</w:t>
            </w:r>
            <w:r>
              <w:rPr>
                <w:rFonts w:hint="default" w:cs="Arial" w:asciiTheme="majorHAnsi" w:hAnsiTheme="majorHAnsi"/>
                <w:b/>
                <w:spacing w:val="3"/>
                <w:sz w:val="18"/>
                <w:szCs w:val="18"/>
                <w:lang w:val="bs-Latn-BA"/>
              </w:rPr>
              <w:t>4.06.2024</w:t>
            </w:r>
            <w:r>
              <w:rPr>
                <w:rFonts w:cs="Arial" w:asciiTheme="majorHAnsi" w:hAnsiTheme="majorHAnsi"/>
                <w:b/>
                <w:spacing w:val="3"/>
                <w:sz w:val="18"/>
                <w:szCs w:val="18"/>
              </w:rPr>
              <w:fldChar w:fldCharType="end"/>
            </w:r>
          </w:p>
        </w:tc>
      </w:tr>
      <w:tr w14:paraId="7BEC1BA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5467BA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5C542C3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51B49EF3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59F44F41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41CAB42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33569ED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A20BA94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74A1EF84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676DE92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C0ABB3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7F66A4CB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7D519B1E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5B7EE476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D28E15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970CDD8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7D08472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EF47">
    <w:pPr>
      <w:pStyle w:val="11"/>
    </w:pPr>
  </w:p>
  <w:p w14:paraId="282DA97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B6E5916"/>
    <w:rsid w:val="12D2386F"/>
    <w:rsid w:val="19D652F0"/>
    <w:rsid w:val="20A764BE"/>
    <w:rsid w:val="25223279"/>
    <w:rsid w:val="263122B6"/>
    <w:rsid w:val="4056719A"/>
    <w:rsid w:val="4A7C753F"/>
    <w:rsid w:val="4FAB0141"/>
    <w:rsid w:val="6B8B1F7C"/>
    <w:rsid w:val="757302BE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locked/>
    <w:uiPriority w:val="99"/>
    <w:rPr>
      <w:color w:val="0000FF"/>
      <w:u w:val="single"/>
    </w:rPr>
  </w:style>
  <w:style w:type="character" w:styleId="13">
    <w:name w:val="page number"/>
    <w:basedOn w:val="2"/>
    <w:qFormat/>
    <w:locked/>
    <w:uiPriority w:val="0"/>
  </w:style>
  <w:style w:type="paragraph" w:styleId="14">
    <w:name w:val="Plain Text"/>
    <w:basedOn w:val="1"/>
    <w:link w:val="24"/>
    <w:unhideWhenUsed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qFormat/>
    <w:locked/>
    <w:uiPriority w:val="22"/>
    <w:rPr>
      <w:b/>
      <w:bCs/>
    </w:rPr>
  </w:style>
  <w:style w:type="table" w:styleId="16">
    <w:name w:val="Table Grid"/>
    <w:basedOn w:val="3"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semiHidden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qFormat/>
    <w:uiPriority w:val="99"/>
    <w:rPr>
      <w:sz w:val="22"/>
      <w:szCs w:val="22"/>
      <w:lang w:eastAsia="en-US"/>
    </w:rPr>
  </w:style>
  <w:style w:type="paragraph" w:customStyle="1" w:styleId="23">
    <w:name w:val="Style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1671</Characters>
  <Lines>13</Lines>
  <Paragraphs>3</Paragraphs>
  <TotalTime>13</TotalTime>
  <ScaleCrop>false</ScaleCrop>
  <LinksUpToDate>false</LinksUpToDate>
  <CharactersWithSpaces>1961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Milica Vilušić</cp:lastModifiedBy>
  <cp:lastPrinted>2024-03-19T08:24:00Z</cp:lastPrinted>
  <dcterms:modified xsi:type="dcterms:W3CDTF">2024-07-02T09:45:30Z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1FA12A0C4E054AFB9703F88CD69480A1_13</vt:lpwstr>
  </property>
</Properties>
</file>