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9AC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5AB42F3E" wp14:editId="4D85570E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48334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36DA385C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CB0EC6C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5A6AE49E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362D25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D16521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92173C2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04633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12C068F" w14:textId="77777777" w:rsidR="00CB72ED" w:rsidRPr="00B96B4F" w:rsidRDefault="001A7EE2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Toksikoloski aspekti proizvodnje i pripreme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77A80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5EB8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CCA95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D9A6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CC1B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3888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2CE82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781F5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76AA9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77BB26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937D68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56309B" w14:textId="77777777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4EF3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43EC3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6D022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CA4E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122C4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DD9AE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30C42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AAB596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7DE26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0789F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E89622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78763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0025D4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5C1D2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49777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05365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03D685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A48BA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57917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8957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F6B2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F3009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0D74E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E963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F966F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58E43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DBCE06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DDD67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7EF2D1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A21A75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8943BE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F7882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D20D2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F47E7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47880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DF2C5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596E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9D16D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9CC1C9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6717B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6EB45F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628A6F7A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5781979C" w14:textId="77777777" w:rsidR="00CB72ED" w:rsidRPr="00B96B4F" w:rsidRDefault="001A7EE2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5A370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5A370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1A21849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3E375AE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82696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CF290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10A9E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F79A1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838F6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C4C9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2019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1D92E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E2977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6505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9395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D6C99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D9AD36" w14:textId="77777777" w:rsidR="00CB72ED" w:rsidRPr="00B96B4F" w:rsidRDefault="001A7EE2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Urađen test; urađen seminarski rad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1332D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FF3D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BEFED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65D5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BA92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79E2C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A1EBB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5F7AA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915A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4EE9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D99E7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F165C2" w14:textId="77777777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C135E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A01C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06512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9049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55F3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6600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A3177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52EB2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D3D83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BE4385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A7E55B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11406D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565D10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43D002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33CEEF3" w14:textId="29A1B76A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476747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1677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8047F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F9613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B6ABF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93217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1C7AE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A4B7C2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F6012A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23B7E3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64B435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A2A7B9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D55D0D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65F90D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46F22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B683BD3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8CBEAA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1F5590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CE73F0E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E62599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E1354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69286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E3D5D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3450B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AE70C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E7B434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E6AD1F4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55DA0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E590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EF67B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72B9A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335F" w14:textId="0558C9A2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DA21C4">
              <w:rPr>
                <w:rFonts w:asciiTheme="majorHAnsi" w:hAnsiTheme="majorHAnsi"/>
                <w:b/>
                <w:sz w:val="18"/>
                <w:szCs w:val="18"/>
              </w:rPr>
              <w:t>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9B9E04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71F90FE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7AE4B3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2BB2C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1A152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4E823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8A47F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7E300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ADDCF8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FF9D6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D067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439A6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C4449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7F992" w14:textId="23DCF30A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122,33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01AFE3CA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9055C2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DAD15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41793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77E9B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F120A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21B05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09D70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3C2646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25062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229A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7D42B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E36A7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050E" w14:textId="20230F52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156,08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2B32FF8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E8B2BCA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C1BD51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2CA31F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1EA9D9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0AC04F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248500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16561692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E818F7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AE77C" w14:textId="0BAFF2D7" w:rsidR="007B5F51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D345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3F4C8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88227" w14:textId="34769F5F" w:rsidR="007B5F51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EF42C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FAC91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A4426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37AC4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7DEB3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5A708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40BEF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FF9F7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1F19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FDD5C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53CB0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4958674" w14:textId="77777777" w:rsidR="00CB72ED" w:rsidRPr="00B96B4F" w:rsidRDefault="001A7EE2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A31DB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A0E9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C21BD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6361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A548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CC46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AAEA9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02224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B898C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CAD2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84C5E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5E8C971" w14:textId="67690BBC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2737C8">
              <w:rPr>
                <w:rFonts w:asciiTheme="majorHAnsi" w:hAnsiTheme="majorHAnsi" w:cs="Arial"/>
                <w:b/>
                <w:sz w:val="18"/>
                <w:szCs w:val="18"/>
              </w:rPr>
              <w:t xml:space="preserve"> / Usmjerenje Nutricionizam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D1265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A7E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1C946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A5DB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DD1D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BC0A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3DC12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74F5B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B894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23C62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9C76F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702845B" w14:textId="77777777" w:rsidR="00CB72ED" w:rsidRPr="00B96B4F" w:rsidRDefault="001A7EE2" w:rsidP="00D20B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 xml:space="preserve">Ramzija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>Cvrk 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92210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CCE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3E480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2680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1D29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9C88D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E3BB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C714B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A8AB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77B7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6060B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73B12A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 xml:space="preserve">tudenti u toku kursa stiču znanja o toksičnim sastojcima koji se generiraju tokom proizvodnje i pripreme hrane te utjecaju tih sataojaka na nastanak bolesti. Specifični ciljevi su: 1.Izgradnja stručnog pristupa u rješavanju problema unosa </w:t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toksičnih sastojaka hrane i njihovog utjecaja na zdravlje 2.Razvoj spoznaje o toksičnim sastojcima hrane multidisciplinarno naslonjenoj na stečena znanja iz: nauke o hrani, bihomiji hrane, toksikologije hrane i slicniha predmeta </w:t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FB61A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6B18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7A1A0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A54F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D936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07B9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6DA9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DED59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E9FF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B54B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A2614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B4D027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Znanja potrebna za proizvodnju i pripremu zdravstveno sigurne hrane. Po završetku kursa student stiče kvalifikacije za upravljanje proizvodnjom u dijelu prevencije rizika nastanka toksičnih tvari kao i savjetovanje o pripremi zdravstveno sigurne hrane .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D26E28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79C2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62656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DEBA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99D1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5FB84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241A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AC3F3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CC496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27D1E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83A7F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0218F0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Osnove toksikologije hrane. Klasifikacija toksičnih tvari. Kontaminanti iz okoliša i toksične materije u primarnoj poljoprivrednoj proizvodnji i preradi. Pesticidi, gnojiva, veterinarski lijekovi, spojevi koji nastaju tokom prerade. Hrana porijklom iz GMO. Uvjeti prerade i razine smanjenja kontaminanta u jelima. Toksikanti u hrani kao rezultat prerade hrane. Industrijski prerađena hrana, preporuke i ograničenja. Osnovni procesi pripreme hrane: fizički ( mehanički, toplinski i drugi), hemijski, biološki te njihov uticaj na prehrambene i kulinarske karakteristike u pripremi hrane. Osnove kvantitativnih aspekata toksičnosti i djelovanja toksikanata. Toksičnost značajnijih spojeva: policiklički aromatski ugljikovodici, heterociklički aromatski amini, ciklički spojevi, produkti iz Maillardove reakcije, oksidacijske reakcije lipida, akrilamid, lektini i cijanogeni glikozidi itd.</w:t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DCD98B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CFCD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1723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AEC4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B471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7EE4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1E19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EA424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68D07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12C3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470DD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FE7E7C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. Predavanja. Svaka metodska jedinica se razvija po principu: tema, ciljevi, nastavna strategija (predavanja, diskusija, diskusija u grupama), nastavna pitanja, izvori informacija-litertura. 2. Vježbe. Baziraju se na sticanju vještine u određivanju i izračunavanju parametara kao što su: ADI, MDK, LC, LD, NOAEL, MRL. 3.Seminar. Student samostalo bira temu seminara ili u dogovoru s nastavnicima. 4.Konsultacije. Na raspolaganju 2 sata sedmično tokom trajanja nastave.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B2A41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EB1D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D829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AC62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4781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34A74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739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5350B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4DE2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F7CB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D689F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4D62DD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 xml:space="preserve">okom trajanja kursa osigurava se permanentno praćenje stupnja dostignutih znanja studenta, kao i praćenje njihovih aktivnosti. Rad studenata se prati i ocjenjuje kontinuirano u toku semestra trajnim praćenjem sveukupnog rada i znanja studenata u svim oblicima nastave. Provjera znanja se vrši pismeno i usmeno. Seminarski rad. Ocjenjuje se a) kvalitet pisanog rada (pristup temi, obrada teme i struktura rada, literatura, grafički i drugi prilozi, stil, tehnička opremljenost rada) i b) kvalitet prezentacije-odbrane Seminarski rad se pregleda i ocjenjuje u okviru završnog ispita. Pisemni ispiti. Pismeni dio ispita je u formi testa kombiniranog sa zadacima i pismenim odgovorima. Završni ispit. Završni ispit sastoji se od usmene provjere znanja. Na završnom ispitu postavljaju se dva pitanja prema unaprijed objavljenoj listi pitanja. U ispitna pitanja ulaze sadržaji i sa predavanja i sa vježbi. Student randomizirano bira pitanja.Tokom završnog ispita student brani i seminar. Upis ocjene. Studentima koji su zadovoljili na testu + završni ispit, predmetni nastavnik upisuje ocjenu u indeks nakon završetka svih obaveza na predmetu (potpis predmetnog nastavnika u indeksu). Uvjet za potpis su izvršene obaveze dolaska na nastavu sukladno pravilima Univerziteta. Popravni ispit. Popravnim ispitima pristupaju studenti koji nisu zadovoljili na testu + završni ispit, a imaju urađene sve obaveze na predmetu. Prvo se polaže pismeni ispit, ukoliko student nije isti već uspješno položio u toku kontinuirane provjere znanja. Položeni dio pismenog ispita priznaje se na idućim ispitnim rokovima u toku iste školske godine. Obavještavanje. Obavještavanje o rezultatima ispitnih zadataka je korištenje uobičajene oglasne ploče. Rezultati testova mogu se poslati e-mailom ili usmeno objaviti studentima u vremenu odredenom za konsultacije. Čuvanje rezultata ispita. Rezultati pismenih ispita čuvaju se do slijedeće školske godine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41B99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7755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913D1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68F0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D0C7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891F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91E6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91747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AA9F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D6E1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17417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2D1F52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onačna ocjena se formira na bazi rezultata aktivnosti na nastavi, testu, vjezbama i zavrsnom ispitu. Tokom pohađanja nastave boduje se dolazak i aktivnost studenata na predavanja sa min. 5, a maks. 10 bodova. Seminarski rad-izrada i prezentacija boduje se minimalno 6 maksimalno 10; vježbe min. 6 maks. 10; test min 12 maks. 20. Ukupno predispitne obaveze minim.28 maksim 50. Završni ispit min. 26 mak. 50.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74C39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3740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AAD4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AD5F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456B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4932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3140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7C8E6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7F6C4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69375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687B0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709748" w14:textId="51A61DC8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77CA">
              <w:rPr>
                <w:rFonts w:asciiTheme="majorHAnsi" w:hAnsiTheme="majorHAnsi" w:cs="Arial"/>
                <w:b/>
                <w:sz w:val="18"/>
                <w:szCs w:val="18"/>
              </w:rPr>
              <w:t>Interna skripta "Toksikološki aspekti proizvidnje i pripreme hrane"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F47C6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4475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54F99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CF5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CFFF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82F1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65D6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D2011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5537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3F69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46615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8123C7" w14:textId="2C59B421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77CA" w:rsidRPr="005777CA">
              <w:rPr>
                <w:rFonts w:asciiTheme="majorHAnsi" w:hAnsiTheme="majorHAnsi" w:cs="Arial"/>
                <w:b/>
                <w:sz w:val="18"/>
                <w:szCs w:val="18"/>
              </w:rPr>
              <w:t>William Helferich and Carl K. Winte</w:t>
            </w:r>
            <w:r w:rsidR="005777CA">
              <w:rPr>
                <w:rFonts w:asciiTheme="majorHAnsi" w:hAnsiTheme="majorHAnsi" w:cs="Arial"/>
                <w:b/>
                <w:sz w:val="18"/>
                <w:szCs w:val="18"/>
              </w:rPr>
              <w:t xml:space="preserve">r, </w:t>
            </w:r>
            <w:r w:rsidR="005777CA" w:rsidRPr="005777CA">
              <w:rPr>
                <w:rFonts w:asciiTheme="majorHAnsi" w:hAnsiTheme="majorHAnsi" w:cs="Arial"/>
                <w:b/>
                <w:sz w:val="18"/>
                <w:szCs w:val="18"/>
              </w:rPr>
              <w:t>Food Toxicology</w:t>
            </w:r>
            <w:r w:rsidR="005777C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5777CA" w:rsidRPr="005777CA">
              <w:rPr>
                <w:rFonts w:asciiTheme="majorHAnsi" w:hAnsiTheme="majorHAnsi" w:cs="Arial"/>
                <w:b/>
                <w:sz w:val="18"/>
                <w:szCs w:val="18"/>
              </w:rPr>
              <w:t>CRC Press; 1st edition</w:t>
            </w:r>
            <w:r w:rsidR="005777CA">
              <w:rPr>
                <w:rFonts w:asciiTheme="majorHAnsi" w:hAnsiTheme="majorHAnsi" w:cs="Arial"/>
                <w:b/>
                <w:sz w:val="18"/>
                <w:szCs w:val="18"/>
              </w:rPr>
              <w:t xml:space="preserve">, 2000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D5AE5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0E4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50C8F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DE3F6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696E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0BA57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CD9B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3F5D3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8D2C7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EEF52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94B66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E7D9A0" w14:textId="77777777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BC2BE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2566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D09C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0694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8438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8748D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7594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8E4951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CED1D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F9476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BEE98D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69F9FB6" w14:textId="77777777" w:rsidR="00CB72ED" w:rsidRPr="00B96B4F" w:rsidRDefault="001A7EE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85D7D0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B129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34306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D61A4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5E634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B6CFD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F494F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C7D91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BB5169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D3052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4EFE7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ADF4B0C" w14:textId="5A19C20D" w:rsidR="00CB72ED" w:rsidRPr="00B96B4F" w:rsidRDefault="001A7EE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7F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9E7F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E7F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E7F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9E7F4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9E7F4F" w:rsidRPr="009E7F4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9E7F4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9E7F4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9E7F4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489DA73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88472B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C30E63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AFD884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B60F43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185AA3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FDFB75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678E5733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D25B" w14:textId="77777777" w:rsidR="005A3709" w:rsidRDefault="005A3709">
      <w:pPr>
        <w:spacing w:line="240" w:lineRule="auto"/>
      </w:pPr>
      <w:r>
        <w:separator/>
      </w:r>
    </w:p>
  </w:endnote>
  <w:endnote w:type="continuationSeparator" w:id="0">
    <w:p w14:paraId="29831318" w14:textId="77777777" w:rsidR="005A3709" w:rsidRDefault="005A3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4AED5F40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56A82D8" w14:textId="16A7AB90" w:rsidR="00CB72ED" w:rsidRDefault="001A7EE2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737C8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22A8EA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5AEA19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778DA7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26105A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F23BBE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8EB6E2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1A7EE2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22D8F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1A7EE2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22D8F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F6C03FA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5CBD" w14:textId="77777777" w:rsidR="005A3709" w:rsidRDefault="005A3709">
      <w:pPr>
        <w:spacing w:after="0"/>
      </w:pPr>
      <w:r>
        <w:separator/>
      </w:r>
    </w:p>
  </w:footnote>
  <w:footnote w:type="continuationSeparator" w:id="0">
    <w:p w14:paraId="7D670D94" w14:textId="77777777" w:rsidR="005A3709" w:rsidRDefault="005A3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1852" w14:textId="77777777" w:rsidR="00CB72ED" w:rsidRDefault="00CB72ED">
    <w:pPr>
      <w:pStyle w:val="Header"/>
    </w:pPr>
  </w:p>
  <w:p w14:paraId="1EB3DBEE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3452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523"/>
    <w:rsid w:val="001510AC"/>
    <w:rsid w:val="00161770"/>
    <w:rsid w:val="00162D9B"/>
    <w:rsid w:val="00163316"/>
    <w:rsid w:val="001679F6"/>
    <w:rsid w:val="00172E2F"/>
    <w:rsid w:val="00174CD2"/>
    <w:rsid w:val="00180B01"/>
    <w:rsid w:val="0018386E"/>
    <w:rsid w:val="00192235"/>
    <w:rsid w:val="001947D2"/>
    <w:rsid w:val="00194AB4"/>
    <w:rsid w:val="001A6ADE"/>
    <w:rsid w:val="001A7C91"/>
    <w:rsid w:val="001A7EE2"/>
    <w:rsid w:val="001C36D9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37C8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679F7"/>
    <w:rsid w:val="003704AC"/>
    <w:rsid w:val="00374531"/>
    <w:rsid w:val="00375FDE"/>
    <w:rsid w:val="00376A9C"/>
    <w:rsid w:val="00382F61"/>
    <w:rsid w:val="003842BC"/>
    <w:rsid w:val="003939E4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2D8F"/>
    <w:rsid w:val="005276C6"/>
    <w:rsid w:val="00532436"/>
    <w:rsid w:val="00541C17"/>
    <w:rsid w:val="005443B1"/>
    <w:rsid w:val="00546F6E"/>
    <w:rsid w:val="00552AE0"/>
    <w:rsid w:val="0055354F"/>
    <w:rsid w:val="00555781"/>
    <w:rsid w:val="0056251F"/>
    <w:rsid w:val="005671EA"/>
    <w:rsid w:val="00573797"/>
    <w:rsid w:val="00573E44"/>
    <w:rsid w:val="00573FB4"/>
    <w:rsid w:val="0057415D"/>
    <w:rsid w:val="005777CA"/>
    <w:rsid w:val="00582B7D"/>
    <w:rsid w:val="0058408C"/>
    <w:rsid w:val="0058747B"/>
    <w:rsid w:val="00590139"/>
    <w:rsid w:val="00592D66"/>
    <w:rsid w:val="00596F9F"/>
    <w:rsid w:val="005975B3"/>
    <w:rsid w:val="005A3709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4A77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5C8B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E7F4F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04B9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0E6E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878DA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C6ABA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0BE0"/>
    <w:rsid w:val="00D248C8"/>
    <w:rsid w:val="00D25506"/>
    <w:rsid w:val="00D27584"/>
    <w:rsid w:val="00D27822"/>
    <w:rsid w:val="00D3405C"/>
    <w:rsid w:val="00D43942"/>
    <w:rsid w:val="00D444FE"/>
    <w:rsid w:val="00D564AA"/>
    <w:rsid w:val="00D5759D"/>
    <w:rsid w:val="00D57E3C"/>
    <w:rsid w:val="00D67C21"/>
    <w:rsid w:val="00D764F7"/>
    <w:rsid w:val="00D91853"/>
    <w:rsid w:val="00DA1C36"/>
    <w:rsid w:val="00DA21C4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30B3"/>
  <w15:docId w15:val="{CA69FBD4-D2F7-432C-BA53-CC2F5AE7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DAE4-482D-45C6-841E-7F03FC1C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2024-04-29T09:47:00Z</dcterms:created>
  <dcterms:modified xsi:type="dcterms:W3CDTF">2024-07-03T09:11:00Z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